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BE7" w:rsidRDefault="00D43BE7" w:rsidP="00D43BE7">
      <w:pPr>
        <w:pStyle w:val="Sinespaciado"/>
        <w:ind w:left="284"/>
        <w:jc w:val="both"/>
        <w:rPr>
          <w:rFonts w:ascii="Arial" w:hAnsi="Arial" w:cs="Arial"/>
          <w:b/>
          <w:color w:val="000000"/>
        </w:rPr>
      </w:pPr>
      <w:r>
        <w:rPr>
          <w:rFonts w:ascii="Arial" w:hAnsi="Arial" w:cs="Arial"/>
          <w:i/>
        </w:rPr>
        <w:t>LINEAMIENTO</w:t>
      </w:r>
      <w:r w:rsidRPr="001F5DFA">
        <w:rPr>
          <w:rFonts w:ascii="Arial" w:hAnsi="Arial" w:cs="Arial"/>
          <w:i/>
        </w:rPr>
        <w:t xml:space="preserve"> PUBLICADO EN EL PERIÓDICO OFICIAL DEL ESTADO: </w:t>
      </w:r>
      <w:r>
        <w:rPr>
          <w:rFonts w:ascii="Arial" w:hAnsi="Arial" w:cs="Arial"/>
          <w:i/>
        </w:rPr>
        <w:t>20 DE SEPTIEMBRE DE 2019</w:t>
      </w:r>
    </w:p>
    <w:p w:rsidR="00D43BE7" w:rsidRDefault="00D43BE7" w:rsidP="00D43BE7">
      <w:pPr>
        <w:ind w:left="284" w:right="299"/>
        <w:jc w:val="both"/>
        <w:rPr>
          <w:rFonts w:ascii="Arial" w:hAnsi="Arial" w:cs="Arial"/>
          <w:b/>
          <w:color w:val="000000"/>
          <w:sz w:val="22"/>
          <w:szCs w:val="22"/>
        </w:rPr>
      </w:pPr>
    </w:p>
    <w:p w:rsidR="00D43BE7" w:rsidRDefault="00D43BE7" w:rsidP="00D43BE7">
      <w:pPr>
        <w:ind w:left="284" w:right="299"/>
        <w:jc w:val="both"/>
        <w:rPr>
          <w:rFonts w:ascii="Arial" w:hAnsi="Arial" w:cs="Arial"/>
          <w:b/>
          <w:color w:val="000000"/>
          <w:sz w:val="22"/>
          <w:szCs w:val="22"/>
        </w:rPr>
      </w:pPr>
      <w:bookmarkStart w:id="0" w:name="_GoBack"/>
      <w:r>
        <w:rPr>
          <w:rFonts w:ascii="Arial" w:hAnsi="Arial" w:cs="Arial"/>
          <w:b/>
          <w:color w:val="000000"/>
          <w:sz w:val="22"/>
          <w:szCs w:val="22"/>
        </w:rPr>
        <w:t>LINEAMIENTOS PARA</w:t>
      </w:r>
      <w:r>
        <w:rPr>
          <w:rFonts w:ascii="Arial" w:hAnsi="Arial" w:cs="Arial"/>
          <w:b/>
          <w:color w:val="000000"/>
          <w:sz w:val="22"/>
          <w:szCs w:val="22"/>
        </w:rPr>
        <w:t xml:space="preserve"> LA INSTRUMENTACIÓN DE LOS PROCEDIMIENTOS DE LICITACIÓN PÚBLICA PARA EL OTORGAMIENTO DE UNA CONCESIÓN </w:t>
      </w:r>
      <w:bookmarkEnd w:id="0"/>
      <w:r>
        <w:rPr>
          <w:rFonts w:ascii="Arial" w:hAnsi="Arial" w:cs="Arial"/>
          <w:b/>
          <w:color w:val="000000"/>
          <w:sz w:val="22"/>
          <w:szCs w:val="22"/>
        </w:rPr>
        <w:t xml:space="preserve">DE UN SERVICIO PÚBLICO MUNICIPAL EN EL MUNICIPIO DE SALTILLO, COAHUILA DE ZARAGOZA. </w:t>
      </w:r>
    </w:p>
    <w:p w:rsidR="00D43BE7"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TÍTULO PRIMERO</w:t>
      </w:r>
    </w:p>
    <w:p w:rsidR="00D43BE7" w:rsidRDefault="00D43BE7" w:rsidP="00D43BE7">
      <w:pPr>
        <w:ind w:left="284" w:right="299"/>
        <w:jc w:val="center"/>
        <w:rPr>
          <w:rFonts w:ascii="Arial" w:hAnsi="Arial" w:cs="Arial"/>
          <w:b/>
          <w:sz w:val="22"/>
          <w:szCs w:val="22"/>
        </w:rPr>
      </w:pPr>
      <w:r w:rsidRPr="00B001F8">
        <w:rPr>
          <w:rFonts w:ascii="Arial" w:hAnsi="Arial" w:cs="Arial"/>
          <w:b/>
          <w:sz w:val="22"/>
          <w:szCs w:val="22"/>
        </w:rPr>
        <w:t>Disposiciones Generales</w:t>
      </w:r>
    </w:p>
    <w:p w:rsidR="00D43BE7" w:rsidRPr="00B001F8" w:rsidRDefault="00D43BE7" w:rsidP="00D43BE7">
      <w:pPr>
        <w:ind w:left="284" w:right="299"/>
        <w:jc w:val="center"/>
        <w:rPr>
          <w:rFonts w:ascii="Arial" w:hAnsi="Arial" w:cs="Arial"/>
          <w:b/>
          <w:sz w:val="22"/>
          <w:szCs w:val="22"/>
        </w:rPr>
      </w:pP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Capítulo Único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1.-</w:t>
      </w:r>
      <w:r w:rsidRPr="00B001F8">
        <w:rPr>
          <w:rFonts w:ascii="Arial" w:hAnsi="Arial" w:cs="Arial"/>
          <w:sz w:val="22"/>
          <w:szCs w:val="22"/>
        </w:rPr>
        <w:t xml:space="preserve"> El presente lineamiento es de interés público, de observancia general y obligatoria, y tienen por objeto establecer el procedimiento y los criterios para el otorgamiento de concesiones de servicios públicos de competencia municipal, incluyendo la explotación, uso y aprovechamiento de los bienes requeridos para la prestación del servicio público.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Quedan excluidos de la aplicación del presente ordenamiento, las concesiones que expresamente se normen en otros reglamentos municipales.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No podrán ser objeto de concesión los servicios públicos relativos a seguridad pública y tránsito, protección civil y bomberos. </w:t>
      </w:r>
    </w:p>
    <w:p w:rsidR="00D43BE7" w:rsidRPr="00B001F8" w:rsidRDefault="00D43BE7" w:rsidP="00D43BE7">
      <w:pPr>
        <w:ind w:left="284" w:right="299"/>
        <w:jc w:val="both"/>
        <w:rPr>
          <w:rFonts w:ascii="Arial" w:hAnsi="Arial" w:cs="Arial"/>
          <w:b/>
          <w:sz w:val="22"/>
          <w:szCs w:val="22"/>
        </w:rPr>
      </w:pPr>
    </w:p>
    <w:p w:rsidR="00D43BE7" w:rsidRDefault="00D43BE7" w:rsidP="00D43BE7">
      <w:pPr>
        <w:ind w:left="284" w:right="299"/>
        <w:jc w:val="both"/>
        <w:rPr>
          <w:rFonts w:ascii="Arial" w:hAnsi="Arial" w:cs="Arial"/>
          <w:sz w:val="22"/>
          <w:szCs w:val="22"/>
        </w:rPr>
      </w:pPr>
      <w:r w:rsidRPr="00B001F8">
        <w:rPr>
          <w:rFonts w:ascii="Arial" w:hAnsi="Arial" w:cs="Arial"/>
          <w:b/>
          <w:sz w:val="22"/>
          <w:szCs w:val="22"/>
        </w:rPr>
        <w:t>Artículo 2.-</w:t>
      </w:r>
      <w:r w:rsidRPr="00B001F8">
        <w:rPr>
          <w:rFonts w:ascii="Arial" w:hAnsi="Arial" w:cs="Arial"/>
          <w:sz w:val="22"/>
          <w:szCs w:val="22"/>
        </w:rPr>
        <w:t xml:space="preserve"> Para efectos del presente lineamiento, se deberá entender por:</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704" w:right="299" w:hanging="420"/>
        <w:jc w:val="both"/>
        <w:rPr>
          <w:rFonts w:ascii="Arial" w:hAnsi="Arial" w:cs="Arial"/>
          <w:sz w:val="22"/>
          <w:szCs w:val="22"/>
        </w:rPr>
      </w:pPr>
      <w:r>
        <w:rPr>
          <w:rFonts w:ascii="Arial" w:hAnsi="Arial" w:cs="Arial"/>
          <w:sz w:val="22"/>
          <w:szCs w:val="22"/>
        </w:rPr>
        <w:t>I.</w:t>
      </w:r>
      <w:r>
        <w:rPr>
          <w:rFonts w:ascii="Arial" w:hAnsi="Arial" w:cs="Arial"/>
          <w:sz w:val="22"/>
          <w:szCs w:val="22"/>
        </w:rPr>
        <w:tab/>
        <w:t>Bienes Inmuebles de Dominio P</w:t>
      </w:r>
      <w:r w:rsidRPr="00B001F8">
        <w:rPr>
          <w:rFonts w:ascii="Arial" w:hAnsi="Arial" w:cs="Arial"/>
          <w:sz w:val="22"/>
          <w:szCs w:val="22"/>
        </w:rPr>
        <w:t>úblico: Los señalados en el artículo 304 del Código Financiero para los Municipios del Estado de Coahuila de Zaragoza;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II.</w:t>
      </w:r>
      <w:r w:rsidRPr="00B001F8">
        <w:rPr>
          <w:rFonts w:ascii="Arial" w:hAnsi="Arial" w:cs="Arial"/>
          <w:sz w:val="22"/>
          <w:szCs w:val="22"/>
        </w:rPr>
        <w:tab/>
        <w:t>Código: El Código Municipal para el Estado de Coahuila de Zaragoza;</w:t>
      </w:r>
    </w:p>
    <w:p w:rsidR="00D43BE7" w:rsidRPr="00B001F8" w:rsidRDefault="00D43BE7" w:rsidP="00D43BE7">
      <w:pPr>
        <w:ind w:left="704" w:right="299" w:hanging="420"/>
        <w:jc w:val="both"/>
        <w:rPr>
          <w:rFonts w:ascii="Arial" w:hAnsi="Arial" w:cs="Arial"/>
          <w:sz w:val="22"/>
          <w:szCs w:val="22"/>
        </w:rPr>
      </w:pPr>
      <w:r>
        <w:rPr>
          <w:rFonts w:ascii="Arial" w:hAnsi="Arial" w:cs="Arial"/>
          <w:sz w:val="22"/>
          <w:szCs w:val="22"/>
        </w:rPr>
        <w:t>III.</w:t>
      </w:r>
      <w:r>
        <w:rPr>
          <w:rFonts w:ascii="Arial" w:hAnsi="Arial" w:cs="Arial"/>
          <w:sz w:val="22"/>
          <w:szCs w:val="22"/>
        </w:rPr>
        <w:tab/>
        <w:t>Concesión: Es el a</w:t>
      </w:r>
      <w:r w:rsidRPr="00B001F8">
        <w:rPr>
          <w:rFonts w:ascii="Arial" w:hAnsi="Arial" w:cs="Arial"/>
          <w:sz w:val="22"/>
          <w:szCs w:val="22"/>
        </w:rPr>
        <w:t>cto administrativo contractual y reglamentario mediante el cual el funcionamiento de un servicio público es confiado temporalmente a personas físicas o morales, que asume todas las responsabilidades del mismo y se remunera con los ingresos que percibe de los usuarios del servicio concedido;</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IV.</w:t>
      </w:r>
      <w:r w:rsidRPr="00B001F8">
        <w:rPr>
          <w:rFonts w:ascii="Arial" w:hAnsi="Arial" w:cs="Arial"/>
          <w:sz w:val="22"/>
          <w:szCs w:val="22"/>
        </w:rPr>
        <w:tab/>
        <w:t>Concesionario: La persona física o moral de carácter privado, a quien el Municipio de le concede legal y temporalmente la autorización para prestar un servicio público municipal, mediante un Título de Concesión;</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w:t>
      </w:r>
      <w:r w:rsidRPr="00B001F8">
        <w:rPr>
          <w:rFonts w:ascii="Arial" w:hAnsi="Arial" w:cs="Arial"/>
          <w:sz w:val="22"/>
          <w:szCs w:val="22"/>
        </w:rPr>
        <w:tab/>
        <w:t>Convocante: La Tesorería Municipal del R. Ayuntamiento de Saltillo, Coahuila de Zaragoza;</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VI.</w:t>
      </w:r>
      <w:r w:rsidRPr="00B001F8">
        <w:rPr>
          <w:rFonts w:ascii="Arial" w:hAnsi="Arial" w:cs="Arial"/>
          <w:sz w:val="22"/>
          <w:szCs w:val="22"/>
        </w:rPr>
        <w:tab/>
        <w:t>Licitante: Persona física o moral de carácter privado con interés jurídico en una licitación, en virtud de haber adquirido las bases de este;</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VII.</w:t>
      </w:r>
      <w:r w:rsidRPr="00B001F8">
        <w:rPr>
          <w:rFonts w:ascii="Arial" w:hAnsi="Arial" w:cs="Arial"/>
          <w:sz w:val="22"/>
          <w:szCs w:val="22"/>
        </w:rPr>
        <w:tab/>
        <w:t xml:space="preserve">Convocatoria: Documento público en donde se establecen las reglas generales para quienes deseen participar en un proceso de licitación; </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VIII.</w:t>
      </w:r>
      <w:r w:rsidRPr="00B001F8">
        <w:rPr>
          <w:rFonts w:ascii="Arial" w:hAnsi="Arial" w:cs="Arial"/>
          <w:sz w:val="22"/>
          <w:szCs w:val="22"/>
        </w:rPr>
        <w:tab/>
        <w:t>Licitación: Procedimiento mediante el cual se concesiona la prestación de un servicio público;</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IX.</w:t>
      </w:r>
      <w:r w:rsidRPr="00B001F8">
        <w:rPr>
          <w:rFonts w:ascii="Arial" w:hAnsi="Arial" w:cs="Arial"/>
          <w:sz w:val="22"/>
          <w:szCs w:val="22"/>
        </w:rPr>
        <w:tab/>
        <w:t>Lineamiento: Los lineamientos para la Instrumentación de los Procedimientos de Licitación Pública para el Otorgamiento de una Concesión de un Servicio Público</w:t>
      </w:r>
      <w:r>
        <w:rPr>
          <w:rFonts w:ascii="Arial" w:hAnsi="Arial" w:cs="Arial"/>
          <w:sz w:val="22"/>
          <w:szCs w:val="22"/>
        </w:rPr>
        <w:t xml:space="preserve"> </w:t>
      </w:r>
      <w:r w:rsidRPr="00514E67">
        <w:rPr>
          <w:rFonts w:ascii="Arial" w:hAnsi="Arial" w:cs="Arial"/>
          <w:sz w:val="22"/>
          <w:szCs w:val="22"/>
        </w:rPr>
        <w:t>Municipal</w:t>
      </w:r>
      <w:r w:rsidRPr="00B001F8">
        <w:rPr>
          <w:rFonts w:ascii="Arial" w:hAnsi="Arial" w:cs="Arial"/>
          <w:sz w:val="22"/>
          <w:szCs w:val="22"/>
        </w:rPr>
        <w:t xml:space="preserve"> en el Municipio Saltillo, Coahuila de Zaragoza;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w:t>
      </w:r>
      <w:r w:rsidRPr="00B001F8">
        <w:rPr>
          <w:rFonts w:ascii="Arial" w:hAnsi="Arial" w:cs="Arial"/>
          <w:sz w:val="22"/>
          <w:szCs w:val="22"/>
        </w:rPr>
        <w:tab/>
        <w:t>Municipio: Municipio de Saltillo, Coahuila de Zaragoza;</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lastRenderedPageBreak/>
        <w:t>XI.</w:t>
      </w:r>
      <w:r w:rsidRPr="00B001F8">
        <w:rPr>
          <w:rFonts w:ascii="Arial" w:hAnsi="Arial" w:cs="Arial"/>
          <w:sz w:val="22"/>
          <w:szCs w:val="22"/>
        </w:rPr>
        <w:tab/>
        <w:t xml:space="preserve">Servicio Público: Actividad de la administración pública municipal, central, descentralizada o concesionada a particulares, creada para asegurar de una manera permanente, regular y continua, la satisfacción de una necesidad colectiva de interés general, sujeta a un régimen de derecho público; y </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XII.</w:t>
      </w:r>
      <w:r w:rsidRPr="00B001F8">
        <w:rPr>
          <w:rFonts w:ascii="Arial" w:hAnsi="Arial" w:cs="Arial"/>
          <w:sz w:val="22"/>
          <w:szCs w:val="22"/>
        </w:rPr>
        <w:tab/>
        <w:t>Título de Concesión: El instrumento público en el que se hacen constar las condiciones bajo las cuales el Municipio</w:t>
      </w:r>
      <w:r>
        <w:rPr>
          <w:rFonts w:ascii="Arial" w:hAnsi="Arial" w:cs="Arial"/>
          <w:sz w:val="22"/>
          <w:szCs w:val="22"/>
        </w:rPr>
        <w:t xml:space="preserve"> autoriza de forma temporal al c</w:t>
      </w:r>
      <w:r w:rsidRPr="00B001F8">
        <w:rPr>
          <w:rFonts w:ascii="Arial" w:hAnsi="Arial" w:cs="Arial"/>
          <w:sz w:val="22"/>
          <w:szCs w:val="22"/>
        </w:rPr>
        <w:t>oncesionario para prestar un servicio público municipal, y en su caso, para explotar los bienes que sean indispensables para ello;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3.-</w:t>
      </w:r>
      <w:r w:rsidRPr="00B001F8">
        <w:rPr>
          <w:rFonts w:ascii="Arial" w:hAnsi="Arial" w:cs="Arial"/>
          <w:sz w:val="22"/>
          <w:szCs w:val="22"/>
        </w:rPr>
        <w:t xml:space="preserve"> La Tesorería estará facultada para la interpretación y aplicación del presente Lineamiento, sin demérito de que cualquier otro ordenamiento confiera facultades a otra instancia de orden municipal, para interpretaciones distintas a la administrativa </w:t>
      </w:r>
      <w:r>
        <w:rPr>
          <w:rFonts w:ascii="Arial" w:hAnsi="Arial" w:cs="Arial"/>
          <w:sz w:val="22"/>
          <w:szCs w:val="22"/>
        </w:rPr>
        <w:t>del presente</w:t>
      </w:r>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TÍTULO SEGUNDO</w:t>
      </w:r>
    </w:p>
    <w:p w:rsidR="00D43BE7" w:rsidRPr="00B001F8" w:rsidRDefault="00D43BE7" w:rsidP="00D43BE7">
      <w:pPr>
        <w:ind w:left="284" w:right="299"/>
        <w:jc w:val="center"/>
        <w:rPr>
          <w:rFonts w:ascii="Arial" w:hAnsi="Arial" w:cs="Arial"/>
          <w:b/>
          <w:sz w:val="22"/>
          <w:szCs w:val="22"/>
        </w:rPr>
      </w:pPr>
      <w:r>
        <w:rPr>
          <w:rFonts w:ascii="Arial" w:hAnsi="Arial" w:cs="Arial"/>
          <w:b/>
          <w:sz w:val="22"/>
          <w:szCs w:val="22"/>
        </w:rPr>
        <w:t>De la Autorización de las Concesiones de Servicios P</w:t>
      </w:r>
      <w:r w:rsidRPr="00B001F8">
        <w:rPr>
          <w:rFonts w:ascii="Arial" w:hAnsi="Arial" w:cs="Arial"/>
          <w:b/>
          <w:sz w:val="22"/>
          <w:szCs w:val="22"/>
        </w:rPr>
        <w:t>úblicos.</w:t>
      </w:r>
    </w:p>
    <w:p w:rsidR="00D43BE7" w:rsidRDefault="00D43BE7" w:rsidP="00D43BE7">
      <w:pPr>
        <w:ind w:left="284" w:right="299"/>
        <w:jc w:val="center"/>
        <w:rPr>
          <w:rFonts w:ascii="Arial" w:hAnsi="Arial" w:cs="Arial"/>
          <w:b/>
          <w:sz w:val="22"/>
          <w:szCs w:val="22"/>
        </w:rPr>
      </w:pP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Capítulo Único</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sidRPr="00B001F8">
        <w:rPr>
          <w:rFonts w:ascii="Arial" w:hAnsi="Arial" w:cs="Arial"/>
          <w:b/>
          <w:sz w:val="22"/>
          <w:szCs w:val="22"/>
        </w:rPr>
        <w:t>Artículo 4.-</w:t>
      </w:r>
      <w:r w:rsidRPr="00B001F8">
        <w:rPr>
          <w:rFonts w:ascii="Arial" w:hAnsi="Arial" w:cs="Arial"/>
          <w:sz w:val="22"/>
          <w:szCs w:val="22"/>
        </w:rPr>
        <w:t xml:space="preserve"> El Ayuntamiento solo podrá otorgar concesiones a particulares respecto a servicios públicos cuya competencia le sea conferida por la Constitución Política de los Estados Unidos Mexicanos y la Constitución Política del Estado de Coahuila de Zaragoza, así como sus leyes reglamentarias y por el Código.</w:t>
      </w:r>
    </w:p>
    <w:p w:rsidR="00D43BE7"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Pr>
          <w:rFonts w:ascii="Arial" w:hAnsi="Arial" w:cs="Arial"/>
          <w:sz w:val="22"/>
          <w:szCs w:val="22"/>
        </w:rPr>
        <w:t xml:space="preserve">Para el otorgamiento de las concesiones a que haya lugar se le dará vista en calidad de observadores dentro del procedimiento de licitación a la Comisión de Regidores </w:t>
      </w:r>
      <w:r w:rsidR="00AA729D">
        <w:rPr>
          <w:rFonts w:ascii="Arial" w:hAnsi="Arial" w:cs="Arial"/>
          <w:sz w:val="22"/>
          <w:szCs w:val="22"/>
        </w:rPr>
        <w:t>correspondiente,</w:t>
      </w:r>
      <w:r>
        <w:rPr>
          <w:rFonts w:ascii="Arial" w:hAnsi="Arial" w:cs="Arial"/>
          <w:sz w:val="22"/>
          <w:szCs w:val="22"/>
        </w:rPr>
        <w:t xml:space="preserve"> así como al Contralor Ciudadano, atendiendo al servicio público objeto de la licitación.</w:t>
      </w:r>
    </w:p>
    <w:p w:rsidR="00D43BE7" w:rsidRPr="00B001F8" w:rsidRDefault="00D43BE7" w:rsidP="00D43BE7">
      <w:pPr>
        <w:ind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5.-</w:t>
      </w:r>
      <w:r w:rsidRPr="00B001F8">
        <w:rPr>
          <w:rFonts w:ascii="Arial" w:hAnsi="Arial" w:cs="Arial"/>
          <w:sz w:val="22"/>
          <w:szCs w:val="22"/>
        </w:rPr>
        <w:t xml:space="preserve"> Para el otorgamiento de una concesión, el Ayuntamiento deberá contar con las autorizaciones a que haya lugar conforme a las disposiciones aplicables.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6.-</w:t>
      </w:r>
      <w:r w:rsidRPr="00B001F8">
        <w:rPr>
          <w:rFonts w:ascii="Arial" w:hAnsi="Arial" w:cs="Arial"/>
          <w:sz w:val="22"/>
          <w:szCs w:val="22"/>
        </w:rPr>
        <w:t xml:space="preserve"> Tratándose de servicios públicos municipales, la</w:t>
      </w:r>
      <w:r>
        <w:rPr>
          <w:rFonts w:ascii="Arial" w:hAnsi="Arial" w:cs="Arial"/>
          <w:sz w:val="22"/>
          <w:szCs w:val="22"/>
        </w:rPr>
        <w:t xml:space="preserve"> autoridad </w:t>
      </w:r>
      <w:proofErr w:type="spellStart"/>
      <w:r>
        <w:rPr>
          <w:rFonts w:ascii="Arial" w:hAnsi="Arial" w:cs="Arial"/>
          <w:sz w:val="22"/>
          <w:szCs w:val="22"/>
        </w:rPr>
        <w:t>concesionante</w:t>
      </w:r>
      <w:proofErr w:type="spellEnd"/>
      <w:r>
        <w:rPr>
          <w:rFonts w:ascii="Arial" w:hAnsi="Arial" w:cs="Arial"/>
          <w:sz w:val="22"/>
          <w:szCs w:val="22"/>
        </w:rPr>
        <w:t xml:space="preserve"> deberá</w:t>
      </w:r>
      <w:r w:rsidRPr="00B001F8">
        <w:rPr>
          <w:rFonts w:ascii="Arial" w:hAnsi="Arial" w:cs="Arial"/>
          <w:sz w:val="22"/>
          <w:szCs w:val="22"/>
        </w:rPr>
        <w:t xml:space="preserve"> observar las disposiciones contenidas en el Código, el presente lineamiento y demás preceptos legales aplicables. </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TÍTULO TERCERO</w:t>
      </w: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Del Procedimiento de Licitación.</w:t>
      </w:r>
    </w:p>
    <w:p w:rsidR="00D43BE7" w:rsidRPr="00B001F8" w:rsidRDefault="00D43BE7" w:rsidP="00D43BE7">
      <w:pPr>
        <w:ind w:left="284" w:right="299"/>
        <w:jc w:val="center"/>
        <w:rPr>
          <w:rFonts w:ascii="Arial" w:hAnsi="Arial" w:cs="Arial"/>
          <w:b/>
          <w:sz w:val="22"/>
          <w:szCs w:val="22"/>
        </w:rPr>
      </w:pP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Capítulo Primero</w:t>
      </w: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Generalidades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7.-</w:t>
      </w:r>
      <w:r w:rsidRPr="00B001F8">
        <w:rPr>
          <w:rFonts w:ascii="Arial" w:hAnsi="Arial" w:cs="Arial"/>
          <w:sz w:val="22"/>
          <w:szCs w:val="22"/>
        </w:rPr>
        <w:t xml:space="preserve"> Las concesiones se deberán otorgar mediante Licitación Pública, en el cual se observarán los principios de máxima publicidad, libre participación y concurrencia, equidad y transparencia.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8.-</w:t>
      </w:r>
      <w:r w:rsidRPr="00B001F8">
        <w:rPr>
          <w:rFonts w:ascii="Arial" w:hAnsi="Arial" w:cs="Arial"/>
          <w:sz w:val="22"/>
          <w:szCs w:val="22"/>
        </w:rPr>
        <w:t xml:space="preserve"> La convocatoria de la licitación, deberá publicarse en el Periódico Oficial del Estado de Coahuila de Zaragoza, en la Gaceta Municipal, en el sitio de internet del Municipio, y en al menos un periódico de circulación estatal.</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sidRPr="00B001F8">
        <w:rPr>
          <w:rFonts w:ascii="Arial" w:hAnsi="Arial" w:cs="Arial"/>
          <w:b/>
          <w:sz w:val="22"/>
          <w:szCs w:val="22"/>
        </w:rPr>
        <w:t>Artículo 9.-</w:t>
      </w:r>
      <w:r w:rsidRPr="00B001F8">
        <w:rPr>
          <w:rFonts w:ascii="Arial" w:hAnsi="Arial" w:cs="Arial"/>
          <w:sz w:val="22"/>
          <w:szCs w:val="22"/>
        </w:rPr>
        <w:t xml:space="preserve"> Los plazos de la licitación, se contabilizarán de la siguiente manera: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w:t>
      </w:r>
      <w:r w:rsidRPr="00B001F8">
        <w:rPr>
          <w:rFonts w:ascii="Arial" w:hAnsi="Arial" w:cs="Arial"/>
          <w:sz w:val="22"/>
          <w:szCs w:val="22"/>
        </w:rPr>
        <w:tab/>
        <w:t xml:space="preserve">Consulta y venta de bases: Desde la fecha de publicación de la convocatoria y hasta 7 días naturales </w:t>
      </w:r>
      <w:r>
        <w:rPr>
          <w:rFonts w:ascii="Arial" w:hAnsi="Arial" w:cs="Arial"/>
          <w:sz w:val="22"/>
          <w:szCs w:val="22"/>
        </w:rPr>
        <w:t>previos a la celebración de la j</w:t>
      </w:r>
      <w:r w:rsidRPr="00B001F8">
        <w:rPr>
          <w:rFonts w:ascii="Arial" w:hAnsi="Arial" w:cs="Arial"/>
          <w:sz w:val="22"/>
          <w:szCs w:val="22"/>
        </w:rPr>
        <w:t>unta de recepción de propuestas, siendo responsabilidad de los interesados adquirirlas oportunamente;</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II.</w:t>
      </w:r>
      <w:r w:rsidRPr="00B001F8">
        <w:rPr>
          <w:rFonts w:ascii="Arial" w:hAnsi="Arial" w:cs="Arial"/>
          <w:sz w:val="22"/>
          <w:szCs w:val="22"/>
        </w:rPr>
        <w:tab/>
        <w:t xml:space="preserve">Visita al sitio donde se prestará el servicio: Se realizará por el convocante y los licitantes dentro de los 3 primeros días posteriores a la publicación de la convocatoria, en caso de que las características del servicio lo requieran. </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III.</w:t>
      </w:r>
      <w:r w:rsidRPr="00B001F8">
        <w:rPr>
          <w:rFonts w:ascii="Arial" w:hAnsi="Arial" w:cs="Arial"/>
          <w:sz w:val="22"/>
          <w:szCs w:val="22"/>
        </w:rPr>
        <w:tab/>
        <w:t xml:space="preserve">Recepción de preguntas: Hasta </w:t>
      </w:r>
      <w:r>
        <w:rPr>
          <w:rFonts w:ascii="Arial" w:hAnsi="Arial" w:cs="Arial"/>
          <w:sz w:val="22"/>
          <w:szCs w:val="22"/>
        </w:rPr>
        <w:t>3 días hábiles anteriores a la junta de a</w:t>
      </w:r>
      <w:r w:rsidRPr="00B001F8">
        <w:rPr>
          <w:rFonts w:ascii="Arial" w:hAnsi="Arial" w:cs="Arial"/>
          <w:sz w:val="22"/>
          <w:szCs w:val="22"/>
        </w:rPr>
        <w:t>claraciones;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IV.</w:t>
      </w:r>
      <w:r w:rsidRPr="00B001F8">
        <w:rPr>
          <w:rFonts w:ascii="Arial" w:hAnsi="Arial" w:cs="Arial"/>
          <w:sz w:val="22"/>
          <w:szCs w:val="22"/>
        </w:rPr>
        <w:tab/>
        <w:t>Junta de aclaraciones a las bases: Como mínimo 3 días hábiles posteriores al día de cierre de venta de bases;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w:t>
      </w:r>
      <w:r w:rsidRPr="00B001F8">
        <w:rPr>
          <w:rFonts w:ascii="Arial" w:hAnsi="Arial" w:cs="Arial"/>
          <w:sz w:val="22"/>
          <w:szCs w:val="22"/>
        </w:rPr>
        <w:tab/>
        <w:t>Junta de recepción de propuestas técnicas y económicas: A los 7</w:t>
      </w:r>
      <w:r>
        <w:rPr>
          <w:rFonts w:ascii="Arial" w:hAnsi="Arial" w:cs="Arial"/>
          <w:sz w:val="22"/>
          <w:szCs w:val="22"/>
        </w:rPr>
        <w:t xml:space="preserve"> </w:t>
      </w:r>
      <w:r w:rsidRPr="008425F4">
        <w:rPr>
          <w:rFonts w:ascii="Arial" w:hAnsi="Arial" w:cs="Arial"/>
          <w:sz w:val="22"/>
          <w:szCs w:val="22"/>
        </w:rPr>
        <w:t>días</w:t>
      </w:r>
      <w:r>
        <w:rPr>
          <w:rFonts w:ascii="Arial" w:hAnsi="Arial" w:cs="Arial"/>
          <w:sz w:val="22"/>
          <w:szCs w:val="22"/>
        </w:rPr>
        <w:t xml:space="preserve"> naturales </w:t>
      </w:r>
      <w:r w:rsidRPr="00B001F8">
        <w:rPr>
          <w:rFonts w:ascii="Arial" w:hAnsi="Arial" w:cs="Arial"/>
          <w:sz w:val="22"/>
          <w:szCs w:val="22"/>
        </w:rPr>
        <w:t>posteriores a la celebración de la Junta de Aclaraciones;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VI.</w:t>
      </w:r>
      <w:r w:rsidRPr="00B001F8">
        <w:rPr>
          <w:rFonts w:ascii="Arial" w:hAnsi="Arial" w:cs="Arial"/>
          <w:sz w:val="22"/>
          <w:szCs w:val="22"/>
        </w:rPr>
        <w:tab/>
        <w:t xml:space="preserve">Emisión del Fallo: hasta 7 días naturales posteriores a la celebración de la Junta de recepción de propuestas técnicas y económicas, pudiendo prorrogar su emisión hasta por un término igual. </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VII.</w:t>
      </w:r>
      <w:r w:rsidRPr="00B001F8">
        <w:rPr>
          <w:rFonts w:ascii="Arial" w:hAnsi="Arial" w:cs="Arial"/>
          <w:sz w:val="22"/>
          <w:szCs w:val="22"/>
        </w:rPr>
        <w:tab/>
        <w:t>Firma del contrato de concesión: Dentro de los 30 días naturales posteriores a la fecha de la emisión del fallo.</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sidRPr="00B001F8">
        <w:rPr>
          <w:rFonts w:ascii="Arial" w:hAnsi="Arial" w:cs="Arial"/>
          <w:b/>
          <w:sz w:val="22"/>
          <w:szCs w:val="22"/>
        </w:rPr>
        <w:t>Artículo 10.-</w:t>
      </w:r>
      <w:r>
        <w:rPr>
          <w:rFonts w:ascii="Arial" w:hAnsi="Arial" w:cs="Arial"/>
          <w:sz w:val="22"/>
          <w:szCs w:val="22"/>
        </w:rPr>
        <w:t xml:space="preserve"> Podrán participar en las l</w:t>
      </w:r>
      <w:r w:rsidRPr="00B001F8">
        <w:rPr>
          <w:rFonts w:ascii="Arial" w:hAnsi="Arial" w:cs="Arial"/>
          <w:sz w:val="22"/>
          <w:szCs w:val="22"/>
        </w:rPr>
        <w:t>icitaciones todas las personas físicas o morales interesadas, que acrediten su existencia, personalidad jurídica, capacidad técnica y financiera para hacerse acreedores de la concesión en los términos de las bases de la licitación. Podrán participar de manera consorciada varios licitantes, a través de una sola propuesta, manifestando que participarán con esa calidad, designando un representante común y firmando un convenio consorcial, el que deberá presentarse dentro de su propuesta debidamente certificado ante fedatario público.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11.-</w:t>
      </w:r>
      <w:r w:rsidRPr="00B001F8">
        <w:rPr>
          <w:rFonts w:ascii="Arial" w:hAnsi="Arial" w:cs="Arial"/>
          <w:sz w:val="22"/>
          <w:szCs w:val="22"/>
        </w:rPr>
        <w:t xml:space="preserve"> Las personas que participen en la licitación deberán manifestar un domicilio en el municipio, para oír y recibir notificaciones, además de acreditar a una persona para los mismos efectos, que deberá estar disponible en días y horas hábiles. Adicionalmente deberán manifestar un correo electrónico que será un medio para las notificaciones de la licitación, así como un número telefónico de localización.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12.-</w:t>
      </w:r>
      <w:r w:rsidRPr="00B001F8">
        <w:rPr>
          <w:rFonts w:ascii="Arial" w:hAnsi="Arial" w:cs="Arial"/>
          <w:sz w:val="22"/>
          <w:szCs w:val="22"/>
        </w:rPr>
        <w:t xml:space="preserve"> En cumplimiento a lo establecido en el Código, la concesión sólo podrá otorgarse a una persona de nacionalidad mexicana. Para los efectos anteriores, el licitante ganador podrá constituir una persona moral dedicada exclusivamente a la atención de los fines de la concesión. </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Pr>
          <w:rFonts w:ascii="Arial" w:hAnsi="Arial" w:cs="Arial"/>
          <w:b/>
          <w:sz w:val="22"/>
          <w:szCs w:val="22"/>
        </w:rPr>
        <w:t xml:space="preserve">Artículo </w:t>
      </w:r>
      <w:r w:rsidRPr="00B001F8">
        <w:rPr>
          <w:rFonts w:ascii="Arial" w:hAnsi="Arial" w:cs="Arial"/>
          <w:b/>
          <w:sz w:val="22"/>
          <w:szCs w:val="22"/>
        </w:rPr>
        <w:t>13.-</w:t>
      </w:r>
      <w:r w:rsidRPr="00B001F8">
        <w:rPr>
          <w:rFonts w:ascii="Arial" w:hAnsi="Arial" w:cs="Arial"/>
          <w:sz w:val="22"/>
          <w:szCs w:val="22"/>
        </w:rPr>
        <w:t xml:space="preserve"> Tratándose de servicios públicos municipales concesionados, para el control financiero y contabilidad gubernamental, preferentemente se constituirá un fideicomiso de administración y pago, cuyos fines, de manera enunciativa y no limitativa, podrán ser: administrar y dispersar los flujos generados por el proyecto, para efectuar el pago hacia los fideicomisarios.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 </w:t>
      </w:r>
    </w:p>
    <w:p w:rsidR="00D43BE7" w:rsidRPr="00AD041C" w:rsidRDefault="00D43BE7" w:rsidP="00D43BE7">
      <w:pPr>
        <w:ind w:left="284" w:right="299"/>
        <w:jc w:val="center"/>
        <w:rPr>
          <w:rFonts w:ascii="Arial" w:hAnsi="Arial" w:cs="Arial"/>
          <w:b/>
          <w:sz w:val="22"/>
          <w:szCs w:val="22"/>
        </w:rPr>
      </w:pPr>
      <w:r w:rsidRPr="00AD041C">
        <w:rPr>
          <w:rFonts w:ascii="Arial" w:hAnsi="Arial" w:cs="Arial"/>
          <w:b/>
          <w:sz w:val="22"/>
          <w:szCs w:val="22"/>
        </w:rPr>
        <w:t>Capítulo Segundo</w:t>
      </w:r>
    </w:p>
    <w:p w:rsidR="00D43BE7" w:rsidRPr="00AD041C" w:rsidRDefault="00D43BE7" w:rsidP="00D43BE7">
      <w:pPr>
        <w:ind w:left="284" w:right="299"/>
        <w:jc w:val="center"/>
        <w:rPr>
          <w:rFonts w:ascii="Arial" w:hAnsi="Arial" w:cs="Arial"/>
          <w:b/>
          <w:sz w:val="22"/>
          <w:szCs w:val="22"/>
        </w:rPr>
      </w:pPr>
      <w:r w:rsidRPr="00AD041C">
        <w:rPr>
          <w:rFonts w:ascii="Arial" w:hAnsi="Arial" w:cs="Arial"/>
          <w:b/>
          <w:sz w:val="22"/>
          <w:szCs w:val="22"/>
        </w:rPr>
        <w:t>De la Convocatoria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14.-</w:t>
      </w:r>
      <w:r w:rsidRPr="00B001F8">
        <w:rPr>
          <w:rFonts w:ascii="Arial" w:hAnsi="Arial" w:cs="Arial"/>
          <w:sz w:val="22"/>
          <w:szCs w:val="22"/>
        </w:rPr>
        <w:t xml:space="preserve"> Las convocatorias contendrán cuando menos: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704" w:right="299" w:hanging="420"/>
        <w:jc w:val="both"/>
        <w:rPr>
          <w:rFonts w:ascii="Arial" w:hAnsi="Arial" w:cs="Arial"/>
          <w:sz w:val="22"/>
          <w:szCs w:val="22"/>
        </w:rPr>
      </w:pPr>
      <w:r>
        <w:rPr>
          <w:rFonts w:ascii="Arial" w:hAnsi="Arial" w:cs="Arial"/>
          <w:sz w:val="22"/>
          <w:szCs w:val="22"/>
        </w:rPr>
        <w:t>I.</w:t>
      </w:r>
      <w:r>
        <w:rPr>
          <w:rFonts w:ascii="Arial" w:hAnsi="Arial" w:cs="Arial"/>
          <w:sz w:val="22"/>
          <w:szCs w:val="22"/>
        </w:rPr>
        <w:tab/>
        <w:t>Referencia del A</w:t>
      </w:r>
      <w:r w:rsidRPr="00B001F8">
        <w:rPr>
          <w:rFonts w:ascii="Arial" w:hAnsi="Arial" w:cs="Arial"/>
          <w:sz w:val="22"/>
          <w:szCs w:val="22"/>
        </w:rPr>
        <w:t xml:space="preserve">cuerdo de Cabildo donde se aprueba concesionar el servicio público; </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II.</w:t>
      </w:r>
      <w:r w:rsidRPr="00B001F8">
        <w:rPr>
          <w:rFonts w:ascii="Arial" w:hAnsi="Arial" w:cs="Arial"/>
          <w:sz w:val="22"/>
          <w:szCs w:val="22"/>
        </w:rPr>
        <w:tab/>
        <w:t>El nombre, denominación o razón social de la dependencia convocante;</w:t>
      </w:r>
    </w:p>
    <w:p w:rsidR="00D43BE7" w:rsidRPr="00B001F8" w:rsidRDefault="00D43BE7" w:rsidP="00D43BE7">
      <w:pPr>
        <w:ind w:left="708" w:right="299" w:hanging="420"/>
        <w:jc w:val="both"/>
        <w:rPr>
          <w:rFonts w:ascii="Arial" w:hAnsi="Arial" w:cs="Arial"/>
          <w:sz w:val="22"/>
          <w:szCs w:val="22"/>
        </w:rPr>
      </w:pPr>
      <w:r w:rsidRPr="00B001F8">
        <w:rPr>
          <w:rFonts w:ascii="Arial" w:hAnsi="Arial" w:cs="Arial"/>
          <w:sz w:val="22"/>
          <w:szCs w:val="22"/>
        </w:rPr>
        <w:t>III.</w:t>
      </w:r>
      <w:r w:rsidRPr="00B001F8">
        <w:rPr>
          <w:rFonts w:ascii="Arial" w:hAnsi="Arial" w:cs="Arial"/>
          <w:sz w:val="22"/>
          <w:szCs w:val="22"/>
        </w:rPr>
        <w:tab/>
        <w:t>La indicación de los lugares, fechas y horarios en que los interesados podrán obtener las bases de la licitación y, en su caso, el costo y forma de pago de las mismas. Los interesados podrán revisarlas previamente a su pago, el cual es requisito indispensable para participar en la licitación, asimismo podrán consultar y adquirir las bases de las licitaciones por los medios de difusión electrónica que establezca la convocante;</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IV.</w:t>
      </w:r>
      <w:r w:rsidRPr="00B001F8">
        <w:rPr>
          <w:rFonts w:ascii="Arial" w:hAnsi="Arial" w:cs="Arial"/>
          <w:sz w:val="22"/>
          <w:szCs w:val="22"/>
        </w:rPr>
        <w:tab/>
        <w:t>La indicación de que ninguna de las condiciones contenidas en las bases de la licitación, así como las propuestas presentadas por los licitantes, podrán ser negociadas;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V.</w:t>
      </w:r>
      <w:r w:rsidRPr="00B001F8">
        <w:rPr>
          <w:rFonts w:ascii="Arial" w:hAnsi="Arial" w:cs="Arial"/>
          <w:sz w:val="22"/>
          <w:szCs w:val="22"/>
        </w:rPr>
        <w:tab/>
        <w:t>El objeto de la licitación;</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VI.</w:t>
      </w:r>
      <w:r w:rsidRPr="00B001F8">
        <w:rPr>
          <w:rFonts w:ascii="Arial" w:hAnsi="Arial" w:cs="Arial"/>
          <w:sz w:val="22"/>
          <w:szCs w:val="22"/>
        </w:rPr>
        <w:tab/>
        <w:t>La indicación de las personas que no podrán participar en la licitación; y</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VII.</w:t>
      </w:r>
      <w:r w:rsidRPr="00B001F8">
        <w:rPr>
          <w:rFonts w:ascii="Arial" w:hAnsi="Arial" w:cs="Arial"/>
          <w:sz w:val="22"/>
          <w:szCs w:val="22"/>
        </w:rPr>
        <w:tab/>
        <w:t xml:space="preserve">Los criterios generales conforme a los cuales se adjudicará el contrato. </w:t>
      </w:r>
    </w:p>
    <w:p w:rsidR="00D43BE7" w:rsidRDefault="00D43BE7" w:rsidP="00D43BE7">
      <w:pPr>
        <w:ind w:right="299"/>
        <w:rPr>
          <w:rFonts w:ascii="Arial" w:hAnsi="Arial" w:cs="Arial"/>
          <w:sz w:val="22"/>
          <w:szCs w:val="22"/>
        </w:rPr>
      </w:pPr>
    </w:p>
    <w:p w:rsidR="00D43BE7" w:rsidRPr="00B001F8" w:rsidRDefault="00D43BE7" w:rsidP="00D43BE7">
      <w:pPr>
        <w:ind w:right="299"/>
        <w:jc w:val="center"/>
        <w:rPr>
          <w:rFonts w:ascii="Arial" w:hAnsi="Arial" w:cs="Arial"/>
          <w:b/>
          <w:sz w:val="22"/>
          <w:szCs w:val="22"/>
        </w:rPr>
      </w:pPr>
      <w:r w:rsidRPr="00B001F8">
        <w:rPr>
          <w:rFonts w:ascii="Arial" w:hAnsi="Arial" w:cs="Arial"/>
          <w:b/>
          <w:sz w:val="22"/>
          <w:szCs w:val="22"/>
        </w:rPr>
        <w:t>Capítulo Tercero</w:t>
      </w:r>
    </w:p>
    <w:p w:rsidR="00D43BE7" w:rsidRPr="00B001F8" w:rsidRDefault="00D43BE7" w:rsidP="00D43BE7">
      <w:pPr>
        <w:ind w:left="284" w:right="299"/>
        <w:jc w:val="center"/>
        <w:rPr>
          <w:rFonts w:ascii="Arial" w:hAnsi="Arial" w:cs="Arial"/>
          <w:b/>
          <w:sz w:val="22"/>
          <w:szCs w:val="22"/>
        </w:rPr>
      </w:pPr>
      <w:r w:rsidRPr="00B001F8">
        <w:rPr>
          <w:rFonts w:ascii="Arial" w:hAnsi="Arial" w:cs="Arial"/>
          <w:b/>
          <w:sz w:val="22"/>
          <w:szCs w:val="22"/>
        </w:rPr>
        <w:t>De las Bases de la licitación.</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b/>
          <w:sz w:val="22"/>
          <w:szCs w:val="22"/>
        </w:rPr>
        <w:t>Artículo 15.-</w:t>
      </w:r>
      <w:r w:rsidRPr="00B001F8">
        <w:rPr>
          <w:rFonts w:ascii="Arial" w:hAnsi="Arial" w:cs="Arial"/>
          <w:sz w:val="22"/>
          <w:szCs w:val="22"/>
        </w:rPr>
        <w:t xml:space="preserve"> Las Bases de la licitación, en función del servicio público a concesionar, deberán contener por lo menos los siguientes elementos:</w:t>
      </w:r>
    </w:p>
    <w:p w:rsidR="00D43BE7"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I.</w:t>
      </w:r>
      <w:r w:rsidRPr="00B001F8">
        <w:rPr>
          <w:rFonts w:ascii="Arial" w:hAnsi="Arial" w:cs="Arial"/>
          <w:sz w:val="22"/>
          <w:szCs w:val="22"/>
        </w:rPr>
        <w:tab/>
        <w:t>Definiciones;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II.</w:t>
      </w:r>
      <w:r w:rsidRPr="00B001F8">
        <w:rPr>
          <w:rFonts w:ascii="Arial" w:hAnsi="Arial" w:cs="Arial"/>
          <w:sz w:val="22"/>
          <w:szCs w:val="22"/>
        </w:rPr>
        <w:tab/>
        <w:t>Objeto de la licitación;</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III.</w:t>
      </w:r>
      <w:r w:rsidRPr="00B001F8">
        <w:rPr>
          <w:rFonts w:ascii="Arial" w:hAnsi="Arial" w:cs="Arial"/>
          <w:sz w:val="22"/>
          <w:szCs w:val="22"/>
        </w:rPr>
        <w:tab/>
        <w:t xml:space="preserve">Programa de Actividades de la licitación; </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IV.</w:t>
      </w:r>
      <w:r w:rsidRPr="00B001F8">
        <w:rPr>
          <w:rFonts w:ascii="Arial" w:hAnsi="Arial" w:cs="Arial"/>
          <w:sz w:val="22"/>
          <w:szCs w:val="22"/>
        </w:rPr>
        <w:tab/>
        <w:t>Domicilio de la dependencia convocante;</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V.</w:t>
      </w:r>
      <w:r w:rsidRPr="00B001F8">
        <w:rPr>
          <w:rFonts w:ascii="Arial" w:hAnsi="Arial" w:cs="Arial"/>
          <w:sz w:val="22"/>
          <w:szCs w:val="22"/>
        </w:rPr>
        <w:tab/>
        <w:t>El idioma de presentación de las propuestas;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VI.</w:t>
      </w:r>
      <w:r w:rsidRPr="00B001F8">
        <w:rPr>
          <w:rFonts w:ascii="Arial" w:hAnsi="Arial" w:cs="Arial"/>
          <w:sz w:val="22"/>
          <w:szCs w:val="22"/>
        </w:rPr>
        <w:tab/>
        <w:t>Adquisición de Bases;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VII.</w:t>
      </w:r>
      <w:r w:rsidRPr="00B001F8">
        <w:rPr>
          <w:rFonts w:ascii="Arial" w:hAnsi="Arial" w:cs="Arial"/>
          <w:sz w:val="22"/>
          <w:szCs w:val="22"/>
        </w:rPr>
        <w:tab/>
        <w:t>Propuestas conjuntas;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VIII.</w:t>
      </w:r>
      <w:r w:rsidRPr="00B001F8">
        <w:rPr>
          <w:rFonts w:ascii="Arial" w:hAnsi="Arial" w:cs="Arial"/>
          <w:sz w:val="22"/>
          <w:szCs w:val="22"/>
        </w:rPr>
        <w:tab/>
        <w:t>Paquete de documentación legal y financiera que acredite la solvencia de los licitantes;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IX.</w:t>
      </w:r>
      <w:r w:rsidRPr="00B001F8">
        <w:rPr>
          <w:rFonts w:ascii="Arial" w:hAnsi="Arial" w:cs="Arial"/>
          <w:sz w:val="22"/>
          <w:szCs w:val="22"/>
        </w:rPr>
        <w:tab/>
        <w:t>Forma en que se acreditará la existencia y personalidad jurídica del licitante;</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X.</w:t>
      </w:r>
      <w:r w:rsidRPr="00B001F8">
        <w:rPr>
          <w:rFonts w:ascii="Arial" w:hAnsi="Arial" w:cs="Arial"/>
          <w:sz w:val="22"/>
          <w:szCs w:val="22"/>
        </w:rPr>
        <w:tab/>
        <w:t>La indicación de que ninguna de las condiciones contenidas en las bases de la licitación, así como en las propuestas presentadas por los licitantes podrán ser negociadas;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XI.</w:t>
      </w:r>
      <w:r w:rsidRPr="00B001F8">
        <w:rPr>
          <w:rFonts w:ascii="Arial" w:hAnsi="Arial" w:cs="Arial"/>
          <w:sz w:val="22"/>
          <w:szCs w:val="22"/>
        </w:rPr>
        <w:tab/>
        <w:t>Criterios para la evaluación de las propuestas y adjudicación de los contratos, que puede ser el binario y puntos o porcentajes;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XII.</w:t>
      </w:r>
      <w:r w:rsidRPr="00B001F8">
        <w:rPr>
          <w:rFonts w:ascii="Arial" w:hAnsi="Arial" w:cs="Arial"/>
          <w:sz w:val="22"/>
          <w:szCs w:val="22"/>
        </w:rPr>
        <w:tab/>
        <w:t>La indicación de que no podrán participar las personas físicas o morales inhabilitadas por resolución de las autoridades competentes;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XIII.</w:t>
      </w:r>
      <w:r w:rsidRPr="00B001F8">
        <w:rPr>
          <w:rFonts w:ascii="Arial" w:hAnsi="Arial" w:cs="Arial"/>
          <w:sz w:val="22"/>
          <w:szCs w:val="22"/>
        </w:rPr>
        <w:tab/>
        <w:t>Instrucciones para elaborar y presentar las propuestas;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XIV.</w:t>
      </w:r>
      <w:r w:rsidRPr="00B001F8">
        <w:rPr>
          <w:rFonts w:ascii="Arial" w:hAnsi="Arial" w:cs="Arial"/>
          <w:sz w:val="22"/>
          <w:szCs w:val="22"/>
        </w:rPr>
        <w:tab/>
        <w:t>Vigencia de las propuestas;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XV.</w:t>
      </w:r>
      <w:r w:rsidRPr="00B001F8">
        <w:rPr>
          <w:rFonts w:ascii="Arial" w:hAnsi="Arial" w:cs="Arial"/>
          <w:sz w:val="22"/>
          <w:szCs w:val="22"/>
        </w:rPr>
        <w:tab/>
        <w:t>Garantía de seriedad de la propuesta;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XVI.</w:t>
      </w:r>
      <w:r w:rsidRPr="00B001F8">
        <w:rPr>
          <w:rFonts w:ascii="Arial" w:hAnsi="Arial" w:cs="Arial"/>
          <w:sz w:val="22"/>
          <w:szCs w:val="22"/>
        </w:rPr>
        <w:tab/>
        <w:t>Manifestación de no conflicto de interés;</w:t>
      </w:r>
    </w:p>
    <w:p w:rsidR="00D43BE7" w:rsidRPr="00B001F8" w:rsidRDefault="00D43BE7" w:rsidP="00D43BE7">
      <w:pPr>
        <w:tabs>
          <w:tab w:val="left" w:pos="709"/>
          <w:tab w:val="left" w:pos="851"/>
        </w:tabs>
        <w:ind w:left="284" w:right="299"/>
        <w:jc w:val="both"/>
        <w:rPr>
          <w:rFonts w:ascii="Arial" w:hAnsi="Arial" w:cs="Arial"/>
          <w:sz w:val="22"/>
          <w:szCs w:val="22"/>
        </w:rPr>
      </w:pPr>
      <w:r>
        <w:rPr>
          <w:rFonts w:ascii="Arial" w:hAnsi="Arial" w:cs="Arial"/>
          <w:sz w:val="22"/>
          <w:szCs w:val="22"/>
        </w:rPr>
        <w:t xml:space="preserve">XVII. </w:t>
      </w:r>
      <w:r w:rsidRPr="00B001F8">
        <w:rPr>
          <w:rFonts w:ascii="Arial" w:hAnsi="Arial" w:cs="Arial"/>
          <w:sz w:val="22"/>
          <w:szCs w:val="22"/>
        </w:rPr>
        <w:t xml:space="preserve">Contenido de </w:t>
      </w:r>
      <w:r>
        <w:rPr>
          <w:rFonts w:ascii="Arial" w:hAnsi="Arial" w:cs="Arial"/>
          <w:sz w:val="22"/>
          <w:szCs w:val="22"/>
        </w:rPr>
        <w:t>las propuestas técnica y económica</w:t>
      </w:r>
      <w:r w:rsidRPr="00B001F8">
        <w:rPr>
          <w:rFonts w:ascii="Arial" w:hAnsi="Arial" w:cs="Arial"/>
          <w:sz w:val="22"/>
          <w:szCs w:val="22"/>
        </w:rPr>
        <w:t xml:space="preserve">; </w:t>
      </w:r>
    </w:p>
    <w:p w:rsidR="00D43BE7" w:rsidRPr="00B001F8" w:rsidRDefault="00D43BE7" w:rsidP="00D43BE7">
      <w:pPr>
        <w:ind w:left="284" w:right="299"/>
        <w:jc w:val="both"/>
        <w:rPr>
          <w:rFonts w:ascii="Arial" w:hAnsi="Arial" w:cs="Arial"/>
          <w:sz w:val="22"/>
          <w:szCs w:val="22"/>
        </w:rPr>
      </w:pPr>
      <w:r>
        <w:rPr>
          <w:rFonts w:ascii="Arial" w:hAnsi="Arial" w:cs="Arial"/>
          <w:sz w:val="22"/>
          <w:szCs w:val="22"/>
        </w:rPr>
        <w:t xml:space="preserve">XVIII. </w:t>
      </w:r>
      <w:r w:rsidRPr="00B001F8">
        <w:rPr>
          <w:rFonts w:ascii="Arial" w:hAnsi="Arial" w:cs="Arial"/>
          <w:sz w:val="22"/>
          <w:szCs w:val="22"/>
        </w:rPr>
        <w:t>Acto de recepción y apertura de las propuestas técnicas y económicas;</w:t>
      </w:r>
    </w:p>
    <w:p w:rsidR="00D43BE7"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XIX.</w:t>
      </w:r>
      <w:r w:rsidRPr="00B001F8">
        <w:rPr>
          <w:rFonts w:ascii="Arial" w:hAnsi="Arial" w:cs="Arial"/>
          <w:sz w:val="22"/>
          <w:szCs w:val="22"/>
        </w:rPr>
        <w:tab/>
        <w:t xml:space="preserve">Causas de </w:t>
      </w:r>
      <w:proofErr w:type="spellStart"/>
      <w:r w:rsidRPr="00B001F8">
        <w:rPr>
          <w:rFonts w:ascii="Arial" w:hAnsi="Arial" w:cs="Arial"/>
          <w:sz w:val="22"/>
          <w:szCs w:val="22"/>
        </w:rPr>
        <w:t>desechamiento</w:t>
      </w:r>
      <w:proofErr w:type="spellEnd"/>
      <w:r w:rsidRPr="00B001F8">
        <w:rPr>
          <w:rFonts w:ascii="Arial" w:hAnsi="Arial" w:cs="Arial"/>
          <w:sz w:val="22"/>
          <w:szCs w:val="22"/>
        </w:rPr>
        <w:t xml:space="preserve"> de las propuestas: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a)</w:t>
      </w:r>
      <w:r w:rsidRPr="00B001F8">
        <w:rPr>
          <w:rFonts w:ascii="Arial" w:hAnsi="Arial" w:cs="Arial"/>
          <w:sz w:val="22"/>
          <w:szCs w:val="22"/>
        </w:rPr>
        <w:tab/>
        <w:t>Se presenten en forma tardía las propuestas, una vez iniciado el acto de recepción y apertura de las mismas: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b)</w:t>
      </w:r>
      <w:r w:rsidRPr="00B001F8">
        <w:rPr>
          <w:rFonts w:ascii="Arial" w:hAnsi="Arial" w:cs="Arial"/>
          <w:sz w:val="22"/>
          <w:szCs w:val="22"/>
        </w:rPr>
        <w:tab/>
        <w:t>El sobre en el que se presenten las propuestas no esté cerrado, para evitar introducir o retirar fácilmente documentos, antes de la celebración del acto público programado para la recepción y apertura de las propuestas;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c)</w:t>
      </w:r>
      <w:r w:rsidRPr="00B001F8">
        <w:rPr>
          <w:rFonts w:ascii="Arial" w:hAnsi="Arial" w:cs="Arial"/>
          <w:sz w:val="22"/>
          <w:szCs w:val="22"/>
        </w:rPr>
        <w:tab/>
        <w:t xml:space="preserve">Falta de la firma del licitante o su representante legal, en los documentos, en la forma y términos en que este requisito haya sido solicitado. </w:t>
      </w:r>
    </w:p>
    <w:p w:rsidR="00D43BE7" w:rsidRDefault="00D43BE7" w:rsidP="00D43BE7">
      <w:pPr>
        <w:ind w:left="284" w:right="299"/>
        <w:jc w:val="both"/>
        <w:rPr>
          <w:rFonts w:ascii="Arial" w:hAnsi="Arial" w:cs="Arial"/>
          <w:sz w:val="22"/>
          <w:szCs w:val="22"/>
        </w:rPr>
      </w:pPr>
      <w:r w:rsidRPr="00B001F8">
        <w:rPr>
          <w:rFonts w:ascii="Arial" w:hAnsi="Arial" w:cs="Arial"/>
          <w:sz w:val="22"/>
          <w:szCs w:val="22"/>
        </w:rPr>
        <w:t>d)</w:t>
      </w:r>
      <w:r w:rsidRPr="00B001F8">
        <w:rPr>
          <w:rFonts w:ascii="Arial" w:hAnsi="Arial" w:cs="Arial"/>
          <w:sz w:val="22"/>
          <w:szCs w:val="22"/>
        </w:rPr>
        <w:tab/>
        <w:t>Las demás que la convocante determine dentro</w:t>
      </w:r>
      <w:r>
        <w:rPr>
          <w:rFonts w:ascii="Arial" w:hAnsi="Arial" w:cs="Arial"/>
          <w:sz w:val="22"/>
          <w:szCs w:val="22"/>
        </w:rPr>
        <w:t xml:space="preserve"> de las bases correspondientes.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XX.</w:t>
      </w:r>
      <w:r w:rsidRPr="00B001F8">
        <w:rPr>
          <w:rFonts w:ascii="Arial" w:hAnsi="Arial" w:cs="Arial"/>
          <w:sz w:val="22"/>
          <w:szCs w:val="22"/>
        </w:rPr>
        <w:tab/>
        <w:t>Causas de descalificación de los licitantes: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a)</w:t>
      </w:r>
      <w:r w:rsidRPr="00B001F8">
        <w:rPr>
          <w:rFonts w:ascii="Arial" w:hAnsi="Arial" w:cs="Arial"/>
          <w:sz w:val="22"/>
          <w:szCs w:val="22"/>
        </w:rPr>
        <w:tab/>
        <w:t>La propuesta técnica o la propuesta económica no venga firmada por el representante legal de</w:t>
      </w:r>
      <w:r>
        <w:rPr>
          <w:rFonts w:ascii="Arial" w:hAnsi="Arial" w:cs="Arial"/>
          <w:sz w:val="22"/>
          <w:szCs w:val="22"/>
        </w:rPr>
        <w:t>l</w:t>
      </w:r>
      <w:r w:rsidRPr="00B001F8">
        <w:rPr>
          <w:rFonts w:ascii="Arial" w:hAnsi="Arial" w:cs="Arial"/>
          <w:sz w:val="22"/>
          <w:szCs w:val="22"/>
        </w:rPr>
        <w:t xml:space="preserve"> licitante, en la forma y términos indicados en las bases;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b)</w:t>
      </w:r>
      <w:r w:rsidRPr="00B001F8">
        <w:rPr>
          <w:rFonts w:ascii="Arial" w:hAnsi="Arial" w:cs="Arial"/>
          <w:sz w:val="22"/>
          <w:szCs w:val="22"/>
        </w:rPr>
        <w:tab/>
        <w:t>El licitante deje de presentar dentro del sobre correspondiente uno o más de los documentos originales, copias o fotocopias, en la forma y términos solicitados en las bases;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c)</w:t>
      </w:r>
      <w:r w:rsidRPr="00B001F8">
        <w:rPr>
          <w:rFonts w:ascii="Arial" w:hAnsi="Arial" w:cs="Arial"/>
          <w:sz w:val="22"/>
          <w:szCs w:val="22"/>
        </w:rPr>
        <w:tab/>
        <w:t>El licitante presente documentos cuyo contenido sea parcial o no esté completo, o su texto no corresponda a los datos de acuerdo con lo solicitado en las bases de la licitación;</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d)</w:t>
      </w:r>
      <w:r w:rsidRPr="00B001F8">
        <w:rPr>
          <w:rFonts w:ascii="Arial" w:hAnsi="Arial" w:cs="Arial"/>
          <w:sz w:val="22"/>
          <w:szCs w:val="22"/>
        </w:rPr>
        <w:tab/>
        <w:t xml:space="preserve">Los bienes que oferte el licitante no se ajusten a las especificaciones solicitadas, técnicas, de calidad, diseño, etc. </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e)</w:t>
      </w:r>
      <w:r w:rsidRPr="00B001F8">
        <w:rPr>
          <w:rFonts w:ascii="Arial" w:hAnsi="Arial" w:cs="Arial"/>
          <w:sz w:val="22"/>
          <w:szCs w:val="22"/>
        </w:rPr>
        <w:tab/>
        <w:t>Proponga alternativas que modifiquen las condiciones establecidas por la convocante en las bases y conforme a las cuales se desarrollara la licitación;</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f)</w:t>
      </w:r>
      <w:r w:rsidRPr="00B001F8">
        <w:rPr>
          <w:rFonts w:ascii="Arial" w:hAnsi="Arial" w:cs="Arial"/>
          <w:sz w:val="22"/>
          <w:szCs w:val="22"/>
        </w:rPr>
        <w:tab/>
        <w:t>No presente con número y letra el precio total de la propuesta económica;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g)</w:t>
      </w:r>
      <w:r w:rsidRPr="00B001F8">
        <w:rPr>
          <w:rFonts w:ascii="Arial" w:hAnsi="Arial" w:cs="Arial"/>
          <w:sz w:val="22"/>
          <w:szCs w:val="22"/>
        </w:rPr>
        <w:tab/>
        <w:t xml:space="preserve">Haya cometido un </w:t>
      </w:r>
      <w:r>
        <w:rPr>
          <w:rFonts w:ascii="Arial" w:hAnsi="Arial" w:cs="Arial"/>
          <w:sz w:val="22"/>
          <w:szCs w:val="22"/>
        </w:rPr>
        <w:t>hecho ilícito en perjuicio del M</w:t>
      </w:r>
      <w:r w:rsidRPr="00B001F8">
        <w:rPr>
          <w:rFonts w:ascii="Arial" w:hAnsi="Arial" w:cs="Arial"/>
          <w:sz w:val="22"/>
          <w:szCs w:val="22"/>
        </w:rPr>
        <w:t>unicipio;</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h)</w:t>
      </w:r>
      <w:r w:rsidRPr="00B001F8">
        <w:rPr>
          <w:rFonts w:ascii="Arial" w:hAnsi="Arial" w:cs="Arial"/>
          <w:sz w:val="22"/>
          <w:szCs w:val="22"/>
        </w:rPr>
        <w:tab/>
        <w:t>No satisfaga los requisitos de forma y fondo determinados en las bases;</w:t>
      </w:r>
    </w:p>
    <w:p w:rsidR="00D43BE7" w:rsidRPr="00B001F8" w:rsidRDefault="00D43BE7" w:rsidP="00D43BE7">
      <w:pPr>
        <w:ind w:left="704" w:right="299" w:hanging="420"/>
        <w:jc w:val="both"/>
        <w:rPr>
          <w:rFonts w:ascii="Arial" w:hAnsi="Arial" w:cs="Arial"/>
          <w:sz w:val="22"/>
          <w:szCs w:val="22"/>
        </w:rPr>
      </w:pPr>
      <w:r>
        <w:rPr>
          <w:rFonts w:ascii="Arial" w:hAnsi="Arial" w:cs="Arial"/>
          <w:sz w:val="22"/>
          <w:szCs w:val="22"/>
        </w:rPr>
        <w:t>i)</w:t>
      </w:r>
      <w:r>
        <w:rPr>
          <w:rFonts w:ascii="Arial" w:hAnsi="Arial" w:cs="Arial"/>
          <w:sz w:val="22"/>
          <w:szCs w:val="22"/>
        </w:rPr>
        <w:tab/>
        <w:t>El M</w:t>
      </w:r>
      <w:r w:rsidRPr="00B001F8">
        <w:rPr>
          <w:rFonts w:ascii="Arial" w:hAnsi="Arial" w:cs="Arial"/>
          <w:sz w:val="22"/>
          <w:szCs w:val="22"/>
        </w:rPr>
        <w:t>unicipio encuentre que el licitante se ha puesto de acuerdo con otro u otros para hacer subir los precios propuestos con motivo de esta licitación, o por cualquier otro acuerdo que tenga como fin obtener una ventaja sobre los demás licitantes;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j)</w:t>
      </w:r>
      <w:r w:rsidRPr="00B001F8">
        <w:rPr>
          <w:rFonts w:ascii="Arial" w:hAnsi="Arial" w:cs="Arial"/>
          <w:sz w:val="22"/>
          <w:szCs w:val="22"/>
        </w:rPr>
        <w:tab/>
        <w:t>El licitante presente varias propuestas bajo el mismo o diferentes nombres;</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k)</w:t>
      </w:r>
      <w:r w:rsidRPr="00B001F8">
        <w:rPr>
          <w:rFonts w:ascii="Arial" w:hAnsi="Arial" w:cs="Arial"/>
          <w:sz w:val="22"/>
          <w:szCs w:val="22"/>
        </w:rPr>
        <w:tab/>
        <w:t>Cuando el valor de la garantía para seriedad presentada por el licitante, sea inferior al porcentaje establecido en las bases;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w:t>
      </w:r>
      <w:r w:rsidRPr="00B001F8">
        <w:rPr>
          <w:rFonts w:ascii="Arial" w:hAnsi="Arial" w:cs="Arial"/>
          <w:sz w:val="22"/>
          <w:szCs w:val="22"/>
        </w:rPr>
        <w:tab/>
        <w:t>Cuando presente precios en moneda extranjera;</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m)</w:t>
      </w:r>
      <w:r w:rsidRPr="00B001F8">
        <w:rPr>
          <w:rFonts w:ascii="Arial" w:hAnsi="Arial" w:cs="Arial"/>
          <w:sz w:val="22"/>
          <w:szCs w:val="22"/>
        </w:rPr>
        <w:tab/>
        <w:t>Existan adeudos pendientes derivados de sanciones económicas impuestas por la convocante, por incumpliendo de contratos por parte de los licitantes;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n)</w:t>
      </w:r>
      <w:r w:rsidRPr="00B001F8">
        <w:rPr>
          <w:rFonts w:ascii="Arial" w:hAnsi="Arial" w:cs="Arial"/>
          <w:sz w:val="22"/>
          <w:szCs w:val="22"/>
        </w:rPr>
        <w:tab/>
        <w:t>Las demás que la convocante determine dentro de las bases correspondientes.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XXI.</w:t>
      </w:r>
      <w:r w:rsidRPr="00B001F8">
        <w:rPr>
          <w:rFonts w:ascii="Arial" w:hAnsi="Arial" w:cs="Arial"/>
          <w:sz w:val="22"/>
          <w:szCs w:val="22"/>
        </w:rPr>
        <w:tab/>
        <w:t>Causas de declaración de licitación desierta: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a)</w:t>
      </w:r>
      <w:r w:rsidRPr="00B001F8">
        <w:rPr>
          <w:rFonts w:ascii="Arial" w:hAnsi="Arial" w:cs="Arial"/>
          <w:sz w:val="22"/>
          <w:szCs w:val="22"/>
        </w:rPr>
        <w:tab/>
        <w:t>Si vencido el plazo de venta de las bases de licitación ningún interesado las adquiera, no se presente propuesta en la junta de recepción de propuestas técnicas y económicas, si la totalidad de las propuestas presentadas fueran desechadas;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b)</w:t>
      </w:r>
      <w:r w:rsidRPr="00B001F8">
        <w:rPr>
          <w:rFonts w:ascii="Arial" w:hAnsi="Arial" w:cs="Arial"/>
          <w:sz w:val="22"/>
          <w:szCs w:val="22"/>
        </w:rPr>
        <w:tab/>
        <w:t>Si la totalidad de las propuestas presentadas, no garantizan el cumplimiento del contrato, en cuanto a precio, oportunidad, calidad y especificaciones técnicas;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c)</w:t>
      </w:r>
      <w:r w:rsidRPr="00B001F8">
        <w:rPr>
          <w:rFonts w:ascii="Arial" w:hAnsi="Arial" w:cs="Arial"/>
          <w:sz w:val="22"/>
          <w:szCs w:val="22"/>
        </w:rPr>
        <w:tab/>
        <w:t>Si la totalidad de las propuestas presentada, no reúne los requisitos de las bases de la licitación o si como resultado de la investigación efectuada por la convocante, se determina que los precios no son aceptables, por no resultar congruentes con los precios en vigor en el mercado;</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d)</w:t>
      </w:r>
      <w:r w:rsidRPr="00B001F8">
        <w:rPr>
          <w:rFonts w:ascii="Arial" w:hAnsi="Arial" w:cs="Arial"/>
          <w:sz w:val="22"/>
          <w:szCs w:val="22"/>
        </w:rPr>
        <w:tab/>
        <w:t>Las demás que la convocante determine dentro de las bases correspondientes.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Pr>
          <w:rFonts w:ascii="Arial" w:hAnsi="Arial" w:cs="Arial"/>
          <w:sz w:val="22"/>
          <w:szCs w:val="22"/>
        </w:rPr>
        <w:t xml:space="preserve">XXII. </w:t>
      </w:r>
      <w:r w:rsidRPr="00B001F8">
        <w:rPr>
          <w:rFonts w:ascii="Arial" w:hAnsi="Arial" w:cs="Arial"/>
          <w:sz w:val="22"/>
          <w:szCs w:val="22"/>
        </w:rPr>
        <w:t>Causas de cancelación o suspensión de la licitación.</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a)</w:t>
      </w:r>
      <w:r w:rsidRPr="00B001F8">
        <w:rPr>
          <w:rFonts w:ascii="Arial" w:hAnsi="Arial" w:cs="Arial"/>
          <w:sz w:val="22"/>
          <w:szCs w:val="22"/>
        </w:rPr>
        <w:tab/>
        <w:t>Por caso fortuito o fuerza mayor;</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b)</w:t>
      </w:r>
      <w:r w:rsidRPr="00B001F8">
        <w:rPr>
          <w:rFonts w:ascii="Arial" w:hAnsi="Arial" w:cs="Arial"/>
          <w:sz w:val="22"/>
          <w:szCs w:val="22"/>
        </w:rPr>
        <w:tab/>
        <w:t>Las demás que la convocante determine dentro de las bases correspondientes.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Pr>
          <w:rFonts w:ascii="Arial" w:hAnsi="Arial" w:cs="Arial"/>
          <w:sz w:val="22"/>
          <w:szCs w:val="22"/>
        </w:rPr>
        <w:t xml:space="preserve">XXIII. </w:t>
      </w:r>
      <w:r w:rsidRPr="00B001F8">
        <w:rPr>
          <w:rFonts w:ascii="Arial" w:hAnsi="Arial" w:cs="Arial"/>
          <w:sz w:val="22"/>
          <w:szCs w:val="22"/>
        </w:rPr>
        <w:t>Criterio para la evaluación de las propuestas y adjudicación del contrato;</w:t>
      </w:r>
    </w:p>
    <w:p w:rsidR="00D43BE7" w:rsidRPr="00B001F8" w:rsidRDefault="00D43BE7" w:rsidP="00D43BE7">
      <w:pPr>
        <w:ind w:left="284" w:right="299"/>
        <w:jc w:val="both"/>
        <w:rPr>
          <w:rFonts w:ascii="Arial" w:hAnsi="Arial" w:cs="Arial"/>
          <w:sz w:val="22"/>
          <w:szCs w:val="22"/>
        </w:rPr>
      </w:pPr>
      <w:r>
        <w:rPr>
          <w:rFonts w:ascii="Arial" w:hAnsi="Arial" w:cs="Arial"/>
          <w:sz w:val="22"/>
          <w:szCs w:val="22"/>
        </w:rPr>
        <w:t xml:space="preserve">XXIV. </w:t>
      </w:r>
      <w:r w:rsidRPr="00B001F8">
        <w:rPr>
          <w:rFonts w:ascii="Arial" w:hAnsi="Arial" w:cs="Arial"/>
          <w:sz w:val="22"/>
          <w:szCs w:val="22"/>
        </w:rPr>
        <w:t xml:space="preserve">Fallo de la licitación; </w:t>
      </w:r>
    </w:p>
    <w:p w:rsidR="00D43BE7" w:rsidRPr="00B001F8" w:rsidRDefault="00D43BE7" w:rsidP="00D43BE7">
      <w:pPr>
        <w:ind w:left="284" w:right="299"/>
        <w:jc w:val="both"/>
        <w:rPr>
          <w:rFonts w:ascii="Arial" w:hAnsi="Arial" w:cs="Arial"/>
          <w:sz w:val="22"/>
          <w:szCs w:val="22"/>
        </w:rPr>
      </w:pPr>
      <w:r>
        <w:rPr>
          <w:rFonts w:ascii="Arial" w:hAnsi="Arial" w:cs="Arial"/>
          <w:sz w:val="22"/>
          <w:szCs w:val="22"/>
        </w:rPr>
        <w:t xml:space="preserve">XXV. </w:t>
      </w:r>
      <w:r w:rsidRPr="00B001F8">
        <w:rPr>
          <w:rFonts w:ascii="Arial" w:hAnsi="Arial" w:cs="Arial"/>
          <w:sz w:val="22"/>
          <w:szCs w:val="22"/>
        </w:rPr>
        <w:t>Modelo de Título de Concesión; y</w:t>
      </w:r>
    </w:p>
    <w:p w:rsidR="00D43BE7" w:rsidRDefault="00D43BE7" w:rsidP="00D43BE7">
      <w:pPr>
        <w:ind w:left="284" w:right="299"/>
        <w:jc w:val="both"/>
        <w:rPr>
          <w:rFonts w:ascii="Arial" w:hAnsi="Arial" w:cs="Arial"/>
          <w:sz w:val="22"/>
          <w:szCs w:val="22"/>
        </w:rPr>
      </w:pPr>
      <w:r>
        <w:rPr>
          <w:rFonts w:ascii="Arial" w:hAnsi="Arial" w:cs="Arial"/>
          <w:sz w:val="22"/>
          <w:szCs w:val="22"/>
        </w:rPr>
        <w:t xml:space="preserve">XXVI. </w:t>
      </w:r>
      <w:r w:rsidRPr="00B001F8">
        <w:rPr>
          <w:rFonts w:ascii="Arial" w:hAnsi="Arial" w:cs="Arial"/>
          <w:sz w:val="22"/>
          <w:szCs w:val="22"/>
        </w:rPr>
        <w:t>Anexos y sus formatos.</w:t>
      </w:r>
    </w:p>
    <w:p w:rsidR="00AA729D" w:rsidRPr="00B001F8" w:rsidRDefault="00AA729D"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Artículo 16.-</w:t>
      </w:r>
      <w:r w:rsidRPr="00B001F8">
        <w:rPr>
          <w:rFonts w:ascii="Arial" w:hAnsi="Arial" w:cs="Arial"/>
          <w:sz w:val="22"/>
          <w:szCs w:val="22"/>
        </w:rPr>
        <w:t xml:space="preserve"> Al tratarse de concesiones de jurisdicción municipal, las bases de licitación deben prever que los participantes quedarán sometidos a las leyes aplicables del Estado de Coahuila de Zaragoza y renuncian al fuero que pudiera corresponderles por razón de su domicilio o nacionalidad, o por cualquier otro motivo, por lo que la resolución de controversias quedará sometida a la competencia de las leyes y jurisdicción de los tribunales del Estado de Coahuila</w:t>
      </w:r>
      <w:r>
        <w:rPr>
          <w:rFonts w:ascii="Arial" w:hAnsi="Arial" w:cs="Arial"/>
          <w:sz w:val="22"/>
          <w:szCs w:val="22"/>
        </w:rPr>
        <w:t xml:space="preserve"> de Zaragoza, ubicados en el Municipio</w:t>
      </w:r>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TÍTULO CUARTO</w:t>
      </w: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De la Evaluación de las Propuestas</w:t>
      </w:r>
    </w:p>
    <w:p w:rsidR="00D43BE7" w:rsidRPr="00BB124D" w:rsidRDefault="00D43BE7" w:rsidP="00D43BE7">
      <w:pPr>
        <w:ind w:left="284" w:right="299"/>
        <w:jc w:val="center"/>
        <w:rPr>
          <w:rFonts w:ascii="Arial" w:hAnsi="Arial" w:cs="Arial"/>
          <w:b/>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Capítulo Primero</w:t>
      </w: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Generalidades</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sidRPr="00BB124D">
        <w:rPr>
          <w:rFonts w:ascii="Arial" w:hAnsi="Arial" w:cs="Arial"/>
          <w:b/>
          <w:sz w:val="22"/>
          <w:szCs w:val="22"/>
        </w:rPr>
        <w:t>Artículo 17.-</w:t>
      </w:r>
      <w:r w:rsidRPr="00B001F8">
        <w:rPr>
          <w:rFonts w:ascii="Arial" w:hAnsi="Arial" w:cs="Arial"/>
          <w:sz w:val="22"/>
          <w:szCs w:val="22"/>
        </w:rPr>
        <w:t xml:space="preserve"> Para la evaluación de las propuestas técnicas y económicas, de acuerdo con las características del proyecto y las necesidades del Ayuntamiento, indistintamente podrá utilizarse cualquiera de los siguientes métodos: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a)</w:t>
      </w:r>
      <w:r w:rsidRPr="00B001F8">
        <w:rPr>
          <w:rFonts w:ascii="Arial" w:hAnsi="Arial" w:cs="Arial"/>
          <w:sz w:val="22"/>
          <w:szCs w:val="22"/>
        </w:rPr>
        <w:tab/>
        <w:t>Binario, y</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b)</w:t>
      </w:r>
      <w:r w:rsidRPr="00B001F8">
        <w:rPr>
          <w:rFonts w:ascii="Arial" w:hAnsi="Arial" w:cs="Arial"/>
          <w:sz w:val="22"/>
          <w:szCs w:val="22"/>
        </w:rPr>
        <w:tab/>
        <w:t>Puntos o porcentajes.</w:t>
      </w: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Capítulo Segundo</w:t>
      </w: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De los Método</w:t>
      </w:r>
      <w:r>
        <w:rPr>
          <w:rFonts w:ascii="Arial" w:hAnsi="Arial" w:cs="Arial"/>
          <w:b/>
          <w:sz w:val="22"/>
          <w:szCs w:val="22"/>
        </w:rPr>
        <w:t>s</w:t>
      </w:r>
      <w:r w:rsidRPr="00BB124D">
        <w:rPr>
          <w:rFonts w:ascii="Arial" w:hAnsi="Arial" w:cs="Arial"/>
          <w:b/>
          <w:sz w:val="22"/>
          <w:szCs w:val="22"/>
        </w:rPr>
        <w:t xml:space="preserve"> de Evaluación</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sidRPr="00BB124D">
        <w:rPr>
          <w:rFonts w:ascii="Arial" w:hAnsi="Arial" w:cs="Arial"/>
          <w:b/>
          <w:sz w:val="22"/>
          <w:szCs w:val="22"/>
        </w:rPr>
        <w:t>Artículo 18.-</w:t>
      </w:r>
      <w:r w:rsidRPr="00B001F8">
        <w:rPr>
          <w:rFonts w:ascii="Arial" w:hAnsi="Arial" w:cs="Arial"/>
          <w:sz w:val="22"/>
          <w:szCs w:val="22"/>
        </w:rPr>
        <w:t xml:space="preserve"> El Método Binario para la evaluación de las propuestas, consiste en la verificación exhaustiva del cumplimiento de los requisitos legales, administrativos, económicos y técnicos solicitados en las bases de la licitación y la comparación de los precios ofertados por cada licitante, la asignación del contrato será a los licitantes que resultan solventes porque cumplen con la totalidad de los requisitos solicitados y oferte el precio más </w:t>
      </w:r>
      <w:r>
        <w:rPr>
          <w:rFonts w:ascii="Arial" w:hAnsi="Arial" w:cs="Arial"/>
          <w:sz w:val="22"/>
          <w:szCs w:val="22"/>
        </w:rPr>
        <w:t>económico.</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sidRPr="00B001F8">
        <w:rPr>
          <w:rFonts w:ascii="Arial" w:hAnsi="Arial" w:cs="Arial"/>
          <w:sz w:val="22"/>
          <w:szCs w:val="22"/>
        </w:rPr>
        <w:t>En este método, si existieran dos o más propuestas solventes porque satisfacen la totalidad de los requerimientos solicitados por la convocante, la convocante adjudicará al licitante que hubiere ofrecido mejores condiciones en su propuesta, adicionales a las mismas establecidas en las bases, con relación a los servicios a contratar.</w:t>
      </w:r>
    </w:p>
    <w:p w:rsidR="00D43BE7"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 xml:space="preserve">Capítulo </w:t>
      </w:r>
      <w:r>
        <w:rPr>
          <w:rFonts w:ascii="Arial" w:hAnsi="Arial" w:cs="Arial"/>
          <w:b/>
          <w:sz w:val="22"/>
          <w:szCs w:val="22"/>
        </w:rPr>
        <w:t>Tercero</w:t>
      </w: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Del Método de Evaluación por Puntos o Porcentajes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Artículo 19.-</w:t>
      </w:r>
      <w:r w:rsidRPr="00B001F8">
        <w:rPr>
          <w:rFonts w:ascii="Arial" w:hAnsi="Arial" w:cs="Arial"/>
          <w:sz w:val="22"/>
          <w:szCs w:val="22"/>
        </w:rPr>
        <w:t xml:space="preserve"> El Método de Puntos o </w:t>
      </w:r>
      <w:r>
        <w:rPr>
          <w:rFonts w:ascii="Arial" w:hAnsi="Arial" w:cs="Arial"/>
          <w:sz w:val="22"/>
          <w:szCs w:val="22"/>
        </w:rPr>
        <w:t>Porcentajes para calificar las propuestas técnicas y e</w:t>
      </w:r>
      <w:r w:rsidRPr="00B001F8">
        <w:rPr>
          <w:rFonts w:ascii="Arial" w:hAnsi="Arial" w:cs="Arial"/>
          <w:sz w:val="22"/>
          <w:szCs w:val="22"/>
        </w:rPr>
        <w:t xml:space="preserve">conómicas, consiste en la verificación exhaustiva de los requisitos legales y técnicos solicitados en las bases de la licitación mediante la asignación de puntos o unidades porcentuales que los licitantes alcancen de acuerdo al grado de cumplimiento de los rubros y </w:t>
      </w:r>
      <w:proofErr w:type="spellStart"/>
      <w:r w:rsidRPr="00B001F8">
        <w:rPr>
          <w:rFonts w:ascii="Arial" w:hAnsi="Arial" w:cs="Arial"/>
          <w:sz w:val="22"/>
          <w:szCs w:val="22"/>
        </w:rPr>
        <w:t>subrubros</w:t>
      </w:r>
      <w:proofErr w:type="spellEnd"/>
      <w:r w:rsidRPr="00B001F8">
        <w:rPr>
          <w:rFonts w:ascii="Arial" w:hAnsi="Arial" w:cs="Arial"/>
          <w:sz w:val="22"/>
          <w:szCs w:val="22"/>
        </w:rPr>
        <w:t xml:space="preserve"> de las propuestas técnicas y económicas que integran la propuesta para que sean consideradas como solventes</w:t>
      </w:r>
      <w:r>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b/>
          <w:sz w:val="22"/>
          <w:szCs w:val="22"/>
        </w:rPr>
      </w:pPr>
      <w:r w:rsidRPr="00BB124D">
        <w:rPr>
          <w:rFonts w:ascii="Arial" w:hAnsi="Arial" w:cs="Arial"/>
          <w:b/>
          <w:sz w:val="22"/>
          <w:szCs w:val="22"/>
        </w:rPr>
        <w:t>PROPUESTA TÉCNICA</w:t>
      </w:r>
      <w:r>
        <w:rPr>
          <w:rFonts w:ascii="Arial" w:hAnsi="Arial" w:cs="Arial"/>
          <w:b/>
          <w:sz w:val="22"/>
          <w:szCs w:val="22"/>
        </w:rPr>
        <w:t>.</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La puntuación o unidades porcen</w:t>
      </w:r>
      <w:r>
        <w:rPr>
          <w:rFonts w:ascii="Arial" w:hAnsi="Arial" w:cs="Arial"/>
          <w:sz w:val="22"/>
          <w:szCs w:val="22"/>
        </w:rPr>
        <w:t>tuales que deberá obtener la propuesta t</w:t>
      </w:r>
      <w:r w:rsidRPr="00B001F8">
        <w:rPr>
          <w:rFonts w:ascii="Arial" w:hAnsi="Arial" w:cs="Arial"/>
          <w:sz w:val="22"/>
          <w:szCs w:val="22"/>
        </w:rPr>
        <w:t>écnica para ser considerada solvente y, por tanto, no ser desechada, será de cuando menos 45 de los 60 máximos que se pueden obtener en su evaluación técnica.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Pr>
          <w:rFonts w:ascii="Arial" w:hAnsi="Arial" w:cs="Arial"/>
          <w:sz w:val="22"/>
          <w:szCs w:val="22"/>
        </w:rPr>
        <w:t>En la propuesta técnica los r</w:t>
      </w:r>
      <w:r w:rsidRPr="00B001F8">
        <w:rPr>
          <w:rFonts w:ascii="Arial" w:hAnsi="Arial" w:cs="Arial"/>
          <w:sz w:val="22"/>
          <w:szCs w:val="22"/>
        </w:rPr>
        <w:t>ubros a considerar serán:</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Pr>
          <w:rFonts w:ascii="Arial" w:hAnsi="Arial" w:cs="Arial"/>
          <w:b/>
          <w:sz w:val="22"/>
          <w:szCs w:val="22"/>
        </w:rPr>
        <w:t>a) Capacidad de los recursos humanos y e</w:t>
      </w:r>
      <w:r w:rsidRPr="00BB124D">
        <w:rPr>
          <w:rFonts w:ascii="Arial" w:hAnsi="Arial" w:cs="Arial"/>
          <w:b/>
          <w:sz w:val="22"/>
          <w:szCs w:val="22"/>
        </w:rPr>
        <w:t>conómicos del licitante.</w:t>
      </w:r>
      <w:r w:rsidRPr="00B001F8">
        <w:rPr>
          <w:rFonts w:ascii="Arial" w:hAnsi="Arial" w:cs="Arial"/>
          <w:sz w:val="22"/>
          <w:szCs w:val="22"/>
        </w:rPr>
        <w:t xml:space="preserve"> Consiste en el número de recursos humanos que técnicamente estén aptos para prestar el servicio concesionado, los recursos económicos y de equipamiento que requiere el licitante para prestar los servicios en el tiempo, condiciones y niveles de calidad requeridos por la convocante, así como otorgar servicios de mantenimiento o cualquier otro aspecto indispensable para que el licitante pueda cumplir con las obligaciones previstas en el contrato de concesión. Cuando la convocante considere necesario que el licitante cuente con el personal que prestará el servicio previamente a la adjudicación del contrato de concesión, deberá acreditarse con los documentos de carácter laboral idóneos.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Los recursos económicos del licitante se podrán comprobar con documentos que acrediten su capacidad financiera, tales como declaraciones fiscales, estados financieros dictaminados de los últimos dos ejercicios fiscales; en caso de empresas de nueva creación, los más actualizados a la fecha de presentación de la propuesta.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La convocante considerará dentro de los recursos de equipamiento, los bienes directamente relacionados con la prestación del servicio y aquéllos conexos que permitan al licitante el cumplimiento de la concesión.</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Opcionalmente podrán otorgarse puntos o unidades porcentuales a</w:t>
      </w:r>
      <w:r>
        <w:rPr>
          <w:rFonts w:ascii="Arial" w:hAnsi="Arial" w:cs="Arial"/>
          <w:sz w:val="22"/>
          <w:szCs w:val="22"/>
        </w:rPr>
        <w:t>l</w:t>
      </w:r>
      <w:r w:rsidRPr="00B001F8">
        <w:rPr>
          <w:rFonts w:ascii="Arial" w:hAnsi="Arial" w:cs="Arial"/>
          <w:sz w:val="22"/>
          <w:szCs w:val="22"/>
        </w:rPr>
        <w:t xml:space="preserve"> licitante que acrediten contar, dentro de su planta laboral, con trabajadores con discapacidad. Igualmente, se considerará el otorgamiento de puntuación o unidad</w:t>
      </w:r>
      <w:r>
        <w:rPr>
          <w:rFonts w:ascii="Arial" w:hAnsi="Arial" w:cs="Arial"/>
          <w:sz w:val="22"/>
          <w:szCs w:val="22"/>
        </w:rPr>
        <w:t>es porcentuales a los licitante</w:t>
      </w:r>
      <w:r w:rsidRPr="00B001F8">
        <w:rPr>
          <w:rFonts w:ascii="Arial" w:hAnsi="Arial" w:cs="Arial"/>
          <w:sz w:val="22"/>
          <w:szCs w:val="22"/>
        </w:rPr>
        <w:t>s que se comprometan a subcontratar a MIPYMES para la ejecución de los trabajos.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La convocante deberá señalar en la convocatoria, cuáles serán los documentos necesarios para que el licitante acredite los aspectos a que se refiere este rubro;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b) Experiencia y especialidad del licitante.</w:t>
      </w:r>
      <w:r w:rsidRPr="00B001F8">
        <w:rPr>
          <w:rFonts w:ascii="Arial" w:hAnsi="Arial" w:cs="Arial"/>
          <w:sz w:val="22"/>
          <w:szCs w:val="22"/>
        </w:rPr>
        <w:t xml:space="preserve"> En la experiencia se tomará en cuenta el tiempo en que el licitante ha prestado a cualquier persona servicios de la misma naturaleza de los que son objeto del procedimiento de contratación de que se trate, sin que la convocante pueda solicitar una experiencia superior a diez años.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En la especialidad deberá valorarse si los servicios que ha venido prestando el licitante, corresponden a las características específicas y a condiciones similares a las requeridas por la convocante.</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La acreditación de este rubro podrá realizarse con los títulos de concesión y/o contratos o cualquier otro documento que, a consideración de la convocante, permita que el licitante compruebe que ha prestado servicios en los términos señalados en los párrafos anteriores de este inciso. Para ello, la convocante </w:t>
      </w:r>
      <w:r>
        <w:rPr>
          <w:rFonts w:ascii="Arial" w:hAnsi="Arial" w:cs="Arial"/>
          <w:sz w:val="22"/>
          <w:szCs w:val="22"/>
        </w:rPr>
        <w:t>deberá requerir a los licitante</w:t>
      </w:r>
      <w:r w:rsidRPr="00B001F8">
        <w:rPr>
          <w:rFonts w:ascii="Arial" w:hAnsi="Arial" w:cs="Arial"/>
          <w:sz w:val="22"/>
          <w:szCs w:val="22"/>
        </w:rPr>
        <w:t>s un mínimo de títulos de concesión y/o contratos o documentos a presentar, que hayan suscrito o tengan adjudicados con anterioridad a la fecha de la convocatoria; asimismo, podrá establecer un tiempo mínimo de experiencia, el cual en ningún caso podrá ser mayor a diez años;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c) Propuesta de Trabajo.</w:t>
      </w:r>
      <w:r w:rsidRPr="00B001F8">
        <w:rPr>
          <w:rFonts w:ascii="Arial" w:hAnsi="Arial" w:cs="Arial"/>
          <w:sz w:val="22"/>
          <w:szCs w:val="22"/>
        </w:rPr>
        <w:t xml:space="preserve"> Consiste en evaluar conforme a los términos de referencia establecidos por la convocante, la metodología, el plan de trabajo y la organización propuesta por el licitante que permitan garantizar el cumplimiento de la concesión.</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Para la evaluación de este rubro, la convocante deberá considerar la forma en la cual el licitante propone utilizar los recursos de que dispone para prestar el servicio, cuándo y cómo llevará a cabo las actividades o tareas que implica el mismo, el o los procedimientos para llevar a la práctica las actividades o habilidades y el esquema conforme al cual se estructurará la organización de los recursos humanos necesarios para cumplir con las obligaciones previstas en la convocatoria.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Para acreditar los aspectos a que alude este rubro, la convocante podrá solicitar en la convocatoria que el licitante presente la metodología, el plan de trabajo, el organigrama y cualquier otro documento con el cual integre su propuesta de trabajo, y</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d) Cumplimiento de contratos</w:t>
      </w:r>
      <w:r w:rsidRPr="00B001F8">
        <w:rPr>
          <w:rFonts w:ascii="Arial" w:hAnsi="Arial" w:cs="Arial"/>
          <w:sz w:val="22"/>
          <w:szCs w:val="22"/>
        </w:rPr>
        <w:t>. Se ocupa de medir el desempeño o cumplimiento que ha tenido el licitante en la prestación oportuna y adecuada de concesiones o contratos de servicios de la misma naturaleza objeto del procedimiento de contratación de que se trate, que hubieren sido otorgados por alguna dependencia, entidad o contratados con cualquier otra persona en el plazo que determine la convocante, el cual no podrá ser superior a diez años.</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sz w:val="22"/>
          <w:szCs w:val="22"/>
        </w:rPr>
      </w:pPr>
      <w:r w:rsidRPr="00B001F8">
        <w:rPr>
          <w:rFonts w:ascii="Arial" w:hAnsi="Arial" w:cs="Arial"/>
          <w:sz w:val="22"/>
          <w:szCs w:val="22"/>
        </w:rPr>
        <w:t>Para acreditar este rubro, la convoc</w:t>
      </w:r>
      <w:r>
        <w:rPr>
          <w:rFonts w:ascii="Arial" w:hAnsi="Arial" w:cs="Arial"/>
          <w:sz w:val="22"/>
          <w:szCs w:val="22"/>
        </w:rPr>
        <w:t>ante requerirá a los licitantes</w:t>
      </w:r>
      <w:r w:rsidRPr="00B001F8">
        <w:rPr>
          <w:rFonts w:ascii="Arial" w:hAnsi="Arial" w:cs="Arial"/>
          <w:sz w:val="22"/>
          <w:szCs w:val="22"/>
        </w:rPr>
        <w:t xml:space="preserve"> los títulos de concesión o contratos relativos a los servicios de la misma naturaleza prestados con anterioridad, así como, respecto de cada uno de ellos, el documento en el que conste la cancelación de la garantía de cumplimiento respectiva, la manifestación expresa de la contratante sobre el cumplimiento o avance de cumplimiento de las obligaciones del concesionario o contractuales o cualquier otro documento con el que se corrobore dicho cumplimiento.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Los títulos de concesión o contratos cumplidos podrán ser los correspondientes a los presentados por el licitante para acreditar el rubro señalado en el inciso b) de esta fracción.</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A cada uno de los cuatro rubros señalados en los incisos anteriores, la convocante deberá asignarle una puntuación o unidades porcentuales, la cual a su vez se repartirá entre los distintos </w:t>
      </w:r>
      <w:proofErr w:type="spellStart"/>
      <w:r w:rsidRPr="00B001F8">
        <w:rPr>
          <w:rFonts w:ascii="Arial" w:hAnsi="Arial" w:cs="Arial"/>
          <w:sz w:val="22"/>
          <w:szCs w:val="22"/>
        </w:rPr>
        <w:t>subrubros</w:t>
      </w:r>
      <w:proofErr w:type="spellEnd"/>
      <w:r w:rsidRPr="00B001F8">
        <w:rPr>
          <w:rFonts w:ascii="Arial" w:hAnsi="Arial" w:cs="Arial"/>
          <w:sz w:val="22"/>
          <w:szCs w:val="22"/>
        </w:rPr>
        <w:t xml:space="preserve"> que integran cada uno de los rubros.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En cualquiera de los </w:t>
      </w:r>
      <w:proofErr w:type="spellStart"/>
      <w:r w:rsidRPr="00B001F8">
        <w:rPr>
          <w:rFonts w:ascii="Arial" w:hAnsi="Arial" w:cs="Arial"/>
          <w:sz w:val="22"/>
          <w:szCs w:val="22"/>
        </w:rPr>
        <w:t>subrubros</w:t>
      </w:r>
      <w:proofErr w:type="spellEnd"/>
      <w:r w:rsidRPr="00B001F8">
        <w:rPr>
          <w:rFonts w:ascii="Arial" w:hAnsi="Arial" w:cs="Arial"/>
          <w:sz w:val="22"/>
          <w:szCs w:val="22"/>
        </w:rPr>
        <w:t>, la convocante podrá otorgar puntuación o unidades porcentuales adici</w:t>
      </w:r>
      <w:r>
        <w:rPr>
          <w:rFonts w:ascii="Arial" w:hAnsi="Arial" w:cs="Arial"/>
          <w:sz w:val="22"/>
          <w:szCs w:val="22"/>
        </w:rPr>
        <w:t>onales a los licitante</w:t>
      </w:r>
      <w:r w:rsidRPr="00B001F8">
        <w:rPr>
          <w:rFonts w:ascii="Arial" w:hAnsi="Arial" w:cs="Arial"/>
          <w:sz w:val="22"/>
          <w:szCs w:val="22"/>
        </w:rPr>
        <w:t>s que ofrezcan características o condiciones superiores de los servicios o de aquellos aspectos solicitados al licitante considerados como mínimos indispensables, siempre y cuando ello repercuta directamente en la obtención de mejores condiciones para el Municipio. En este caso, las características o condiciones superiores deberán preverse en la convocatoria, así como la puntuación o unidades porcentuales asignadas a las mismas.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La suma de la puntuación o unidades porcentuales de todos los rubros con sus respectivos </w:t>
      </w:r>
      <w:proofErr w:type="spellStart"/>
      <w:r w:rsidRPr="00B001F8">
        <w:rPr>
          <w:rFonts w:ascii="Arial" w:hAnsi="Arial" w:cs="Arial"/>
          <w:sz w:val="22"/>
          <w:szCs w:val="22"/>
        </w:rPr>
        <w:t>subrubros</w:t>
      </w:r>
      <w:proofErr w:type="spellEnd"/>
      <w:r w:rsidRPr="00B001F8">
        <w:rPr>
          <w:rFonts w:ascii="Arial" w:hAnsi="Arial" w:cs="Arial"/>
          <w:sz w:val="22"/>
          <w:szCs w:val="22"/>
        </w:rPr>
        <w:t xml:space="preserve"> deberá ser igual a 60. Para la asignación de puntuación o unidades porcentuales en cada rubro, la convocante deberá considerar lo siguiente:</w:t>
      </w:r>
    </w:p>
    <w:p w:rsidR="00D43BE7" w:rsidRPr="00B001F8" w:rsidRDefault="00D43BE7" w:rsidP="00D43BE7">
      <w:pPr>
        <w:ind w:left="284" w:right="299"/>
        <w:jc w:val="both"/>
        <w:rPr>
          <w:rFonts w:ascii="Arial" w:hAnsi="Arial" w:cs="Arial"/>
          <w:sz w:val="22"/>
          <w:szCs w:val="22"/>
        </w:rPr>
      </w:pPr>
    </w:p>
    <w:p w:rsidR="00D43BE7" w:rsidRDefault="00D43BE7" w:rsidP="00D43BE7">
      <w:pPr>
        <w:ind w:left="284" w:right="299"/>
        <w:jc w:val="both"/>
        <w:rPr>
          <w:rFonts w:ascii="Arial" w:hAnsi="Arial" w:cs="Arial"/>
          <w:b/>
          <w:sz w:val="22"/>
          <w:szCs w:val="22"/>
        </w:rPr>
      </w:pPr>
      <w:r>
        <w:rPr>
          <w:rFonts w:ascii="Arial" w:hAnsi="Arial" w:cs="Arial"/>
          <w:b/>
          <w:sz w:val="22"/>
          <w:szCs w:val="22"/>
        </w:rPr>
        <w:t>Rubro 1: Capacidad de los recursos humanos y e</w:t>
      </w:r>
      <w:r w:rsidRPr="00BB124D">
        <w:rPr>
          <w:rFonts w:ascii="Arial" w:hAnsi="Arial" w:cs="Arial"/>
          <w:b/>
          <w:sz w:val="22"/>
          <w:szCs w:val="22"/>
        </w:rPr>
        <w:t>c</w:t>
      </w:r>
      <w:r>
        <w:rPr>
          <w:rFonts w:ascii="Arial" w:hAnsi="Arial" w:cs="Arial"/>
          <w:b/>
          <w:sz w:val="22"/>
          <w:szCs w:val="22"/>
        </w:rPr>
        <w:t>onómicos del l</w:t>
      </w:r>
      <w:r w:rsidRPr="00BB124D">
        <w:rPr>
          <w:rFonts w:ascii="Arial" w:hAnsi="Arial" w:cs="Arial"/>
          <w:b/>
          <w:sz w:val="22"/>
          <w:szCs w:val="22"/>
        </w:rPr>
        <w:t>icitante (máximo 24 puntos).</w:t>
      </w:r>
    </w:p>
    <w:p w:rsidR="00D43BE7" w:rsidRPr="00BB124D" w:rsidRDefault="00D43BE7" w:rsidP="00D43BE7">
      <w:pPr>
        <w:ind w:left="284" w:right="299"/>
        <w:jc w:val="both"/>
        <w:rPr>
          <w:rFonts w:ascii="Arial" w:hAnsi="Arial" w:cs="Arial"/>
          <w:b/>
          <w:sz w:val="22"/>
          <w:szCs w:val="22"/>
        </w:rPr>
      </w:pPr>
    </w:p>
    <w:p w:rsidR="00D43BE7" w:rsidRPr="00BB124D" w:rsidRDefault="00D43BE7" w:rsidP="00D43BE7">
      <w:pPr>
        <w:ind w:left="284" w:right="299"/>
        <w:jc w:val="both"/>
        <w:rPr>
          <w:rFonts w:ascii="Arial" w:hAnsi="Arial" w:cs="Arial"/>
          <w:b/>
          <w:sz w:val="22"/>
          <w:szCs w:val="22"/>
        </w:rPr>
      </w:pPr>
      <w:proofErr w:type="spellStart"/>
      <w:r w:rsidRPr="00BB124D">
        <w:rPr>
          <w:rFonts w:ascii="Arial" w:hAnsi="Arial" w:cs="Arial"/>
          <w:b/>
          <w:sz w:val="22"/>
          <w:szCs w:val="22"/>
        </w:rPr>
        <w:t>Subrubros</w:t>
      </w:r>
      <w:proofErr w:type="spellEnd"/>
      <w:r w:rsidRPr="00BB124D">
        <w:rPr>
          <w:rFonts w:ascii="Arial" w:hAnsi="Arial" w:cs="Arial"/>
          <w:b/>
          <w:sz w:val="22"/>
          <w:szCs w:val="22"/>
        </w:rPr>
        <w:t>:</w:t>
      </w:r>
      <w:r w:rsidRPr="00BB124D">
        <w:rPr>
          <w:rFonts w:ascii="Arial" w:hAnsi="Arial" w:cs="Arial"/>
          <w:b/>
          <w:sz w:val="22"/>
          <w:szCs w:val="22"/>
        </w:rPr>
        <w:tab/>
      </w:r>
    </w:p>
    <w:p w:rsidR="00D43BE7" w:rsidRDefault="00D43BE7" w:rsidP="00D43BE7">
      <w:pPr>
        <w:ind w:left="284" w:right="299"/>
        <w:jc w:val="both"/>
        <w:rPr>
          <w:rFonts w:ascii="Arial" w:hAnsi="Arial" w:cs="Arial"/>
          <w:sz w:val="22"/>
          <w:szCs w:val="22"/>
        </w:rPr>
      </w:pPr>
      <w:r w:rsidRPr="00B001F8">
        <w:rPr>
          <w:rFonts w:ascii="Arial" w:hAnsi="Arial" w:cs="Arial"/>
          <w:sz w:val="22"/>
          <w:szCs w:val="22"/>
        </w:rPr>
        <w:t xml:space="preserve">La convocante para distribuir la puntuación o unidades porcentuales asignadas deberá considerar, por lo menos, los siguientes </w:t>
      </w:r>
      <w:proofErr w:type="spellStart"/>
      <w:r w:rsidRPr="00B001F8">
        <w:rPr>
          <w:rFonts w:ascii="Arial" w:hAnsi="Arial" w:cs="Arial"/>
          <w:sz w:val="22"/>
          <w:szCs w:val="22"/>
        </w:rPr>
        <w:t>subrubros</w:t>
      </w:r>
      <w:proofErr w:type="spellEnd"/>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02616D" w:rsidRDefault="00D43BE7" w:rsidP="00D43BE7">
      <w:pPr>
        <w:pStyle w:val="Prrafodelista"/>
        <w:numPr>
          <w:ilvl w:val="1"/>
          <w:numId w:val="1"/>
        </w:numPr>
        <w:ind w:right="299"/>
        <w:jc w:val="both"/>
        <w:rPr>
          <w:rFonts w:ascii="Arial" w:hAnsi="Arial" w:cs="Arial"/>
          <w:sz w:val="22"/>
          <w:szCs w:val="22"/>
        </w:rPr>
      </w:pPr>
      <w:r w:rsidRPr="0002616D">
        <w:rPr>
          <w:rFonts w:ascii="Arial" w:hAnsi="Arial" w:cs="Arial"/>
          <w:b/>
          <w:sz w:val="22"/>
          <w:szCs w:val="22"/>
        </w:rPr>
        <w:t>Capacidad de los recursos humanos.</w:t>
      </w:r>
      <w:r w:rsidRPr="0002616D">
        <w:rPr>
          <w:rFonts w:ascii="Arial" w:hAnsi="Arial" w:cs="Arial"/>
          <w:sz w:val="22"/>
          <w:szCs w:val="22"/>
        </w:rPr>
        <w:t xml:space="preserve"> Este </w:t>
      </w:r>
      <w:proofErr w:type="spellStart"/>
      <w:r>
        <w:rPr>
          <w:rFonts w:ascii="Arial" w:hAnsi="Arial" w:cs="Arial"/>
          <w:sz w:val="22"/>
          <w:szCs w:val="22"/>
        </w:rPr>
        <w:t>sub</w:t>
      </w:r>
      <w:r w:rsidRPr="0002616D">
        <w:rPr>
          <w:rFonts w:ascii="Arial" w:hAnsi="Arial" w:cs="Arial"/>
          <w:sz w:val="22"/>
          <w:szCs w:val="22"/>
        </w:rPr>
        <w:t>rubro</w:t>
      </w:r>
      <w:proofErr w:type="spellEnd"/>
      <w:r w:rsidRPr="0002616D">
        <w:rPr>
          <w:rFonts w:ascii="Arial" w:hAnsi="Arial" w:cs="Arial"/>
          <w:sz w:val="22"/>
          <w:szCs w:val="22"/>
        </w:rPr>
        <w:t xml:space="preserve"> tendrá un puntaje máximo de 12 puntos o unidades porcentuales.</w:t>
      </w:r>
    </w:p>
    <w:p w:rsidR="00D43BE7" w:rsidRDefault="00D43BE7" w:rsidP="00D43BE7">
      <w:pPr>
        <w:ind w:left="284" w:right="299"/>
        <w:jc w:val="both"/>
        <w:rPr>
          <w:rFonts w:ascii="Arial" w:hAnsi="Arial" w:cs="Arial"/>
          <w:sz w:val="22"/>
          <w:szCs w:val="22"/>
        </w:rPr>
      </w:pPr>
    </w:p>
    <w:p w:rsidR="00D43BE7" w:rsidRPr="0002616D" w:rsidRDefault="00D43BE7" w:rsidP="00D43BE7">
      <w:pPr>
        <w:ind w:left="284" w:right="299"/>
        <w:jc w:val="both"/>
        <w:rPr>
          <w:rFonts w:ascii="Arial" w:hAnsi="Arial" w:cs="Arial"/>
          <w:sz w:val="22"/>
          <w:szCs w:val="22"/>
        </w:rPr>
      </w:pPr>
      <w:r w:rsidRPr="0002616D">
        <w:rPr>
          <w:rFonts w:ascii="Arial" w:hAnsi="Arial" w:cs="Arial"/>
          <w:sz w:val="22"/>
          <w:szCs w:val="22"/>
        </w:rPr>
        <w:t>La convocante tomará en cuenta los niveles de preparación, la cantidad y el tipo de personal que se requiera para prestar el servicio, asignando el puntaje que estime má</w:t>
      </w:r>
      <w:r>
        <w:rPr>
          <w:rFonts w:ascii="Arial" w:hAnsi="Arial" w:cs="Arial"/>
          <w:sz w:val="22"/>
          <w:szCs w:val="22"/>
        </w:rPr>
        <w:t>s adecuado acorde al p</w:t>
      </w:r>
      <w:r w:rsidRPr="0002616D">
        <w:rPr>
          <w:rFonts w:ascii="Arial" w:hAnsi="Arial" w:cs="Arial"/>
          <w:sz w:val="22"/>
          <w:szCs w:val="22"/>
        </w:rPr>
        <w:t>royecto.</w:t>
      </w:r>
    </w:p>
    <w:p w:rsidR="00D43BE7"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La convocante podrá requerir la existencia de un responsable de grupo de trabajo o jefe de equipo o proyecto, así como, en su caso, un número mínimo de miembros que integren cada grupo de trabajo.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A efecto de evaluar la preparación de cada una de las citadas personas, la convocante podrá asignar puntuación o unidades porcentuales, conforme a los siguientes aspectos: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Primero. Experiencia en asuntos relacionados con la materia del servicio objeto del procedimiento de contratación de que se trate;</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Segundo. Competencia o habilidad en el trabajo de acuerdo a sus conocimientos académicos o profesionales, y</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Tercero. Dominio de herramientas relacionadas con el servicio, como puede ser el idioma, programas informáticos o participación en la resolución o tratamiento de problemáticas similares a la que sea materia del servicio de que se trate.</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La suma de los valores de ponderación determinados para cada uno de los tres aspectos señalados deberá ser igual al total de la puntuación o unidades porcentuales asignadas para el presente </w:t>
      </w:r>
      <w:proofErr w:type="spellStart"/>
      <w:r w:rsidRPr="00B001F8">
        <w:rPr>
          <w:rFonts w:ascii="Arial" w:hAnsi="Arial" w:cs="Arial"/>
          <w:sz w:val="22"/>
          <w:szCs w:val="22"/>
        </w:rPr>
        <w:t>subrubro</w:t>
      </w:r>
      <w:proofErr w:type="spellEnd"/>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En el caso de que la convocante requiera que el licitante cuente con el personal que prestará el servicio previamente a la adjudicación de la Concesión, sólo se dará puntuación o unidades porcentuales al licitante que acredite contar en su plantilla con el personal que habrá de prestar el servicio;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1.2 Capacidad de los recursos económicos, de equipamiento y/o tecnologías.</w:t>
      </w:r>
      <w:r w:rsidRPr="00B001F8">
        <w:rPr>
          <w:rFonts w:ascii="Arial" w:hAnsi="Arial" w:cs="Arial"/>
          <w:sz w:val="22"/>
          <w:szCs w:val="22"/>
        </w:rPr>
        <w:t xml:space="preserve"> Este </w:t>
      </w:r>
      <w:proofErr w:type="spellStart"/>
      <w:r>
        <w:rPr>
          <w:rFonts w:ascii="Arial" w:hAnsi="Arial" w:cs="Arial"/>
          <w:sz w:val="22"/>
          <w:szCs w:val="22"/>
        </w:rPr>
        <w:t>sub</w:t>
      </w:r>
      <w:r w:rsidRPr="00B001F8">
        <w:rPr>
          <w:rFonts w:ascii="Arial" w:hAnsi="Arial" w:cs="Arial"/>
          <w:sz w:val="22"/>
          <w:szCs w:val="22"/>
        </w:rPr>
        <w:t>rubro</w:t>
      </w:r>
      <w:proofErr w:type="spellEnd"/>
      <w:r w:rsidRPr="00B001F8">
        <w:rPr>
          <w:rFonts w:ascii="Arial" w:hAnsi="Arial" w:cs="Arial"/>
          <w:sz w:val="22"/>
          <w:szCs w:val="22"/>
        </w:rPr>
        <w:t xml:space="preserve"> tendrá un puntaje máximo de 12 puntos o unidades porcentuales.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Se refiere a la capacidad de recursos económicos y de equipamiento que la convocante considere necesaria para que el licitante cumpla con el contrato, conforme a los requerimientos establecidos en la</w:t>
      </w:r>
      <w:r>
        <w:rPr>
          <w:rFonts w:ascii="Arial" w:hAnsi="Arial" w:cs="Arial"/>
          <w:sz w:val="22"/>
          <w:szCs w:val="22"/>
        </w:rPr>
        <w:t>s bases</w:t>
      </w:r>
      <w:r w:rsidRPr="00B001F8">
        <w:rPr>
          <w:rFonts w:ascii="Arial" w:hAnsi="Arial" w:cs="Arial"/>
          <w:sz w:val="22"/>
          <w:szCs w:val="22"/>
        </w:rPr>
        <w:t xml:space="preserve">.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La convocante podrá asignar puntuación o unidades porcentuales a los conceptos que integran este </w:t>
      </w:r>
      <w:proofErr w:type="spellStart"/>
      <w:r w:rsidRPr="00B001F8">
        <w:rPr>
          <w:rFonts w:ascii="Arial" w:hAnsi="Arial" w:cs="Arial"/>
          <w:sz w:val="22"/>
          <w:szCs w:val="22"/>
        </w:rPr>
        <w:t>subrubro</w:t>
      </w:r>
      <w:proofErr w:type="spellEnd"/>
      <w:r w:rsidRPr="00B001F8">
        <w:rPr>
          <w:rFonts w:ascii="Arial" w:hAnsi="Arial" w:cs="Arial"/>
          <w:sz w:val="22"/>
          <w:szCs w:val="22"/>
        </w:rPr>
        <w:t>, de conformidad con las características de los servicios objeto del procedimiento de contratación y la importancia de cada concepto.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En el caso del equipamiento, podrá solicitar todas aquellas herramientas que sean indispensables para la operación de la concesión, diferentes a los equipos que se requieran para la construcción de la infraestructura sobre la que se prestará el servicio público concesionado.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Para el caso de tecnologías, se podrá solicitar todas aquellas herramientas de índole informático o de cualquier tipo que sean utilizadas durante la fase operativa de la concesión, que tengan la</w:t>
      </w:r>
      <w:r>
        <w:rPr>
          <w:rFonts w:ascii="Arial" w:hAnsi="Arial" w:cs="Arial"/>
          <w:sz w:val="22"/>
          <w:szCs w:val="22"/>
        </w:rPr>
        <w:t xml:space="preserve"> virtud de darle viabilidad al p</w:t>
      </w:r>
      <w:r w:rsidRPr="00B001F8">
        <w:rPr>
          <w:rFonts w:ascii="Arial" w:hAnsi="Arial" w:cs="Arial"/>
          <w:sz w:val="22"/>
          <w:szCs w:val="22"/>
        </w:rPr>
        <w:t>royecto.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Sin rebasar el 5% del total de puntos a asignar en este </w:t>
      </w:r>
      <w:proofErr w:type="spellStart"/>
      <w:r w:rsidRPr="00B001F8">
        <w:rPr>
          <w:rFonts w:ascii="Arial" w:hAnsi="Arial" w:cs="Arial"/>
          <w:sz w:val="22"/>
          <w:szCs w:val="22"/>
        </w:rPr>
        <w:t>subrubro</w:t>
      </w:r>
      <w:proofErr w:type="spellEnd"/>
      <w:r w:rsidRPr="00B001F8">
        <w:rPr>
          <w:rFonts w:ascii="Arial" w:hAnsi="Arial" w:cs="Arial"/>
          <w:sz w:val="22"/>
          <w:szCs w:val="22"/>
        </w:rPr>
        <w:t>, la Convocante podrá considerar otorgar puntaje para los siguientes conceptos: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I.</w:t>
      </w:r>
      <w:r w:rsidRPr="00B001F8">
        <w:rPr>
          <w:rFonts w:ascii="Arial" w:hAnsi="Arial" w:cs="Arial"/>
          <w:sz w:val="22"/>
          <w:szCs w:val="22"/>
        </w:rPr>
        <w:tab/>
        <w:t xml:space="preserve">Participación de </w:t>
      </w:r>
      <w:r>
        <w:rPr>
          <w:rFonts w:ascii="Arial" w:hAnsi="Arial" w:cs="Arial"/>
          <w:sz w:val="22"/>
          <w:szCs w:val="22"/>
        </w:rPr>
        <w:t xml:space="preserve">personas con discapacidad </w:t>
      </w:r>
      <w:r w:rsidRPr="00B001F8">
        <w:rPr>
          <w:rFonts w:ascii="Arial" w:hAnsi="Arial" w:cs="Arial"/>
          <w:sz w:val="22"/>
          <w:szCs w:val="22"/>
        </w:rPr>
        <w:t xml:space="preserve">o empresas que cuenten con trabajadores con discapacidad. La convocante deberá asignar en todos los casos puntuación o unidades porcentuales a este </w:t>
      </w:r>
      <w:proofErr w:type="spellStart"/>
      <w:r w:rsidRPr="00B001F8">
        <w:rPr>
          <w:rFonts w:ascii="Arial" w:hAnsi="Arial" w:cs="Arial"/>
          <w:sz w:val="22"/>
          <w:szCs w:val="22"/>
        </w:rPr>
        <w:t>subrubro</w:t>
      </w:r>
      <w:proofErr w:type="spellEnd"/>
      <w:r w:rsidRPr="00B001F8">
        <w:rPr>
          <w:rFonts w:ascii="Arial" w:hAnsi="Arial" w:cs="Arial"/>
          <w:sz w:val="22"/>
          <w:szCs w:val="22"/>
        </w:rPr>
        <w:t xml:space="preserve">.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Cuando se trate de empresas se deberá asignar de manera proporcional la puntuación o unidades porcentuales determinadas por la convocante para este </w:t>
      </w:r>
      <w:proofErr w:type="spellStart"/>
      <w:r w:rsidRPr="00B001F8">
        <w:rPr>
          <w:rFonts w:ascii="Arial" w:hAnsi="Arial" w:cs="Arial"/>
          <w:sz w:val="22"/>
          <w:szCs w:val="22"/>
        </w:rPr>
        <w:t>subrubro</w:t>
      </w:r>
      <w:proofErr w:type="spellEnd"/>
      <w:r w:rsidRPr="00B001F8">
        <w:rPr>
          <w:rFonts w:ascii="Arial" w:hAnsi="Arial" w:cs="Arial"/>
          <w:sz w:val="22"/>
          <w:szCs w:val="22"/>
        </w:rPr>
        <w:t>, conforme al número de trabajadores con discapacidad que acrediten tener;</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II.</w:t>
      </w:r>
      <w:r w:rsidRPr="00B001F8">
        <w:rPr>
          <w:rFonts w:ascii="Arial" w:hAnsi="Arial" w:cs="Arial"/>
          <w:sz w:val="22"/>
          <w:szCs w:val="22"/>
        </w:rPr>
        <w:tab/>
        <w:t>Participación de MIPYMES que produzcan bienes con innovación tecnológica relacionados directamente con la prestación del servicio de que se trate.</w:t>
      </w:r>
    </w:p>
    <w:p w:rsidR="00D43BE7"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La convocante deberá asignar en todos los casos puntuación o unidades porcentuales a este </w:t>
      </w:r>
      <w:proofErr w:type="spellStart"/>
      <w:r w:rsidRPr="00B001F8">
        <w:rPr>
          <w:rFonts w:ascii="Arial" w:hAnsi="Arial" w:cs="Arial"/>
          <w:sz w:val="22"/>
          <w:szCs w:val="22"/>
        </w:rPr>
        <w:t>subrubro</w:t>
      </w:r>
      <w:proofErr w:type="spellEnd"/>
      <w:r w:rsidRPr="00B001F8">
        <w:rPr>
          <w:rFonts w:ascii="Arial" w:hAnsi="Arial" w:cs="Arial"/>
          <w:sz w:val="22"/>
          <w:szCs w:val="22"/>
        </w:rPr>
        <w:t>, las cuales sólo se otorgarán cuando el licitante acredite haber producido los bienes que se utilizarán en la prestación del servicio objeto del procedimiento de contratación, con innovación tecnológica que tenga registrada en el Instituto Mexicano de la Propiedad Industrial, y</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III.</w:t>
      </w:r>
      <w:r w:rsidRPr="00BB124D">
        <w:rPr>
          <w:rFonts w:ascii="Arial" w:hAnsi="Arial" w:cs="Arial"/>
          <w:b/>
          <w:sz w:val="22"/>
          <w:szCs w:val="22"/>
        </w:rPr>
        <w:tab/>
      </w:r>
      <w:r w:rsidRPr="00B001F8">
        <w:rPr>
          <w:rFonts w:ascii="Arial" w:hAnsi="Arial" w:cs="Arial"/>
          <w:sz w:val="22"/>
          <w:szCs w:val="22"/>
        </w:rPr>
        <w:t xml:space="preserve">Subcontratación de MIPYMES. El presente </w:t>
      </w:r>
      <w:proofErr w:type="spellStart"/>
      <w:r w:rsidRPr="00B001F8">
        <w:rPr>
          <w:rFonts w:ascii="Arial" w:hAnsi="Arial" w:cs="Arial"/>
          <w:sz w:val="22"/>
          <w:szCs w:val="22"/>
        </w:rPr>
        <w:t>subrubro</w:t>
      </w:r>
      <w:proofErr w:type="spellEnd"/>
      <w:r w:rsidRPr="00B001F8">
        <w:rPr>
          <w:rFonts w:ascii="Arial" w:hAnsi="Arial" w:cs="Arial"/>
          <w:sz w:val="22"/>
          <w:szCs w:val="22"/>
        </w:rPr>
        <w:t xml:space="preserve"> sólo se aplicará en los procedimientos que requieran de la creación de infraestructura para la prestación del servicio público concesionado.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En el caso de que la convocante determine evaluar características o condiciones adicionales a las mínimas requeridas, podrá incluir dentro de este rubro los siguientes </w:t>
      </w:r>
      <w:proofErr w:type="spellStart"/>
      <w:r w:rsidRPr="00B001F8">
        <w:rPr>
          <w:rFonts w:ascii="Arial" w:hAnsi="Arial" w:cs="Arial"/>
          <w:sz w:val="22"/>
          <w:szCs w:val="22"/>
        </w:rPr>
        <w:t>subrubros</w:t>
      </w:r>
      <w:proofErr w:type="spellEnd"/>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1)</w:t>
      </w:r>
      <w:r w:rsidRPr="00B001F8">
        <w:rPr>
          <w:rFonts w:ascii="Arial" w:hAnsi="Arial" w:cs="Arial"/>
          <w:sz w:val="22"/>
          <w:szCs w:val="22"/>
        </w:rPr>
        <w:tab/>
        <w:t>Extensión del tiempo mínimo exigido para garantizar el servicio, y</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2)</w:t>
      </w:r>
      <w:r w:rsidRPr="00B001F8">
        <w:rPr>
          <w:rFonts w:ascii="Arial" w:hAnsi="Arial" w:cs="Arial"/>
          <w:sz w:val="22"/>
          <w:szCs w:val="22"/>
        </w:rPr>
        <w:tab/>
        <w:t>Valores agregados, como pudiera ser la prestación del servicio en plazos más reducidos, el otorgamiento de servicios adicionales o la obtención de resultados superiores a los requeridos.</w:t>
      </w: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both"/>
        <w:rPr>
          <w:rFonts w:ascii="Arial" w:hAnsi="Arial" w:cs="Arial"/>
          <w:b/>
          <w:sz w:val="22"/>
          <w:szCs w:val="22"/>
        </w:rPr>
      </w:pPr>
      <w:r w:rsidRPr="00BB124D">
        <w:rPr>
          <w:rFonts w:ascii="Arial" w:hAnsi="Arial" w:cs="Arial"/>
          <w:b/>
          <w:sz w:val="22"/>
          <w:szCs w:val="22"/>
        </w:rPr>
        <w:t>Rubro 2: Experiencia y Especialidad (máximo 18 puntos)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Experiencia y Especialidad del licitante. Este rubro tendrá un rango de 12 a 18 puntos o unidades porcentuales. La convocante deberá distribuir la puntuación o unidades porcentuales asignadas, únicamente entre los siguientes </w:t>
      </w:r>
      <w:proofErr w:type="spellStart"/>
      <w:r w:rsidRPr="00B001F8">
        <w:rPr>
          <w:rFonts w:ascii="Arial" w:hAnsi="Arial" w:cs="Arial"/>
          <w:sz w:val="22"/>
          <w:szCs w:val="22"/>
        </w:rPr>
        <w:t>subrubros</w:t>
      </w:r>
      <w:proofErr w:type="spellEnd"/>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2.1</w:t>
      </w:r>
      <w:r w:rsidRPr="00B001F8">
        <w:rPr>
          <w:rFonts w:ascii="Arial" w:hAnsi="Arial" w:cs="Arial"/>
          <w:sz w:val="22"/>
          <w:szCs w:val="22"/>
        </w:rPr>
        <w:t xml:space="preserve"> </w:t>
      </w:r>
      <w:r w:rsidRPr="00A75E92">
        <w:rPr>
          <w:rFonts w:ascii="Arial" w:hAnsi="Arial" w:cs="Arial"/>
          <w:b/>
          <w:sz w:val="22"/>
          <w:szCs w:val="22"/>
        </w:rPr>
        <w:t>Experiencia.</w:t>
      </w:r>
      <w:r w:rsidRPr="00B001F8">
        <w:rPr>
          <w:rFonts w:ascii="Arial" w:hAnsi="Arial" w:cs="Arial"/>
          <w:sz w:val="22"/>
          <w:szCs w:val="22"/>
        </w:rPr>
        <w:t xml:space="preserve"> Mayor tiempo prestando servicios similares a los requeridos en el procedimiento de contratación de que se trate, y</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2.2</w:t>
      </w:r>
      <w:r w:rsidRPr="00B001F8">
        <w:rPr>
          <w:rFonts w:ascii="Arial" w:hAnsi="Arial" w:cs="Arial"/>
          <w:sz w:val="22"/>
          <w:szCs w:val="22"/>
        </w:rPr>
        <w:t xml:space="preserve"> </w:t>
      </w:r>
      <w:r w:rsidRPr="00A75E92">
        <w:rPr>
          <w:rFonts w:ascii="Arial" w:hAnsi="Arial" w:cs="Arial"/>
          <w:b/>
          <w:sz w:val="22"/>
          <w:szCs w:val="22"/>
        </w:rPr>
        <w:t>Especialidad.</w:t>
      </w:r>
      <w:r w:rsidRPr="00B001F8">
        <w:rPr>
          <w:rFonts w:ascii="Arial" w:hAnsi="Arial" w:cs="Arial"/>
          <w:sz w:val="22"/>
          <w:szCs w:val="22"/>
        </w:rPr>
        <w:t xml:space="preserve"> Mayor número de contratos, pedidos o documentos con los cuales el licitante puede acreditar que ha prestado servicios con las características específicas y en condiciones similares a las establecidas en la convocatoria de que se trate.</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La convocante deberá asignar el máximo de puntuación o unidades porcentuales que haya determinado, al licitante que acredite mayor número de años de experiencia y presente el mayor número de contratos o documentos que cubran los supuestos antes señalados. A partir de este máximo asignado, la convocante deberá efectuar un reparto proporcional de puntuación o unidades porcentuales entre el resto de los licitantes, debido a los años de experiencia y del número de títulos de concesión y/o contratos o documentos presentados respecto de la especialidad.</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En </w:t>
      </w:r>
      <w:r>
        <w:rPr>
          <w:rFonts w:ascii="Arial" w:hAnsi="Arial" w:cs="Arial"/>
          <w:sz w:val="22"/>
          <w:szCs w:val="22"/>
        </w:rPr>
        <w:t>caso de que dos o más licitante</w:t>
      </w:r>
      <w:r w:rsidRPr="00B001F8">
        <w:rPr>
          <w:rFonts w:ascii="Arial" w:hAnsi="Arial" w:cs="Arial"/>
          <w:sz w:val="22"/>
          <w:szCs w:val="22"/>
        </w:rPr>
        <w:t>s acrediten el mismo número de años de experiencia y presenten el mismo número de títulos de concesión y/o contratos o documentos para la especialidad, la convocante deberá dar la misma puntuación o unidades porcentuales a los licitantes que se encuentren en este supuesto;</w:t>
      </w: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both"/>
        <w:rPr>
          <w:rFonts w:ascii="Arial" w:hAnsi="Arial" w:cs="Arial"/>
          <w:b/>
          <w:sz w:val="22"/>
          <w:szCs w:val="22"/>
        </w:rPr>
      </w:pPr>
      <w:r w:rsidRPr="00BB124D">
        <w:rPr>
          <w:rFonts w:ascii="Arial" w:hAnsi="Arial" w:cs="Arial"/>
          <w:b/>
          <w:sz w:val="22"/>
          <w:szCs w:val="22"/>
        </w:rPr>
        <w:t>Rubro 3: Propuesta de Trabajo (máximo 12 puntos)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La convocante para distribuir el total de la puntuación o unidades porcentuales asignadas a este rubro deberá considerar, entre otros, los siguientes </w:t>
      </w:r>
      <w:proofErr w:type="spellStart"/>
      <w:r w:rsidRPr="00B001F8">
        <w:rPr>
          <w:rFonts w:ascii="Arial" w:hAnsi="Arial" w:cs="Arial"/>
          <w:sz w:val="22"/>
          <w:szCs w:val="22"/>
        </w:rPr>
        <w:t>Subrubros</w:t>
      </w:r>
      <w:proofErr w:type="spellEnd"/>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A75E92" w:rsidRDefault="00D43BE7" w:rsidP="00D43BE7">
      <w:pPr>
        <w:ind w:left="284" w:right="299"/>
        <w:jc w:val="both"/>
        <w:rPr>
          <w:rFonts w:ascii="Arial" w:hAnsi="Arial" w:cs="Arial"/>
          <w:b/>
          <w:sz w:val="22"/>
          <w:szCs w:val="22"/>
        </w:rPr>
      </w:pPr>
      <w:r w:rsidRPr="00A75E92">
        <w:rPr>
          <w:rFonts w:ascii="Arial" w:hAnsi="Arial" w:cs="Arial"/>
          <w:b/>
          <w:sz w:val="22"/>
          <w:szCs w:val="22"/>
        </w:rPr>
        <w:t>3.1 Metodología para la prestación del servicio;</w:t>
      </w:r>
    </w:p>
    <w:p w:rsidR="00D43BE7" w:rsidRPr="00B001F8" w:rsidRDefault="00D43BE7" w:rsidP="00D43BE7">
      <w:pPr>
        <w:ind w:left="284" w:right="299"/>
        <w:jc w:val="both"/>
        <w:rPr>
          <w:rFonts w:ascii="Arial" w:hAnsi="Arial" w:cs="Arial"/>
          <w:sz w:val="22"/>
          <w:szCs w:val="22"/>
        </w:rPr>
      </w:pPr>
    </w:p>
    <w:p w:rsidR="00D43BE7" w:rsidRPr="00A75E92" w:rsidRDefault="00D43BE7" w:rsidP="00D43BE7">
      <w:pPr>
        <w:ind w:left="284" w:right="299"/>
        <w:jc w:val="both"/>
        <w:rPr>
          <w:rFonts w:ascii="Arial" w:hAnsi="Arial" w:cs="Arial"/>
          <w:b/>
          <w:sz w:val="22"/>
          <w:szCs w:val="22"/>
        </w:rPr>
      </w:pPr>
      <w:r w:rsidRPr="00A75E92">
        <w:rPr>
          <w:rFonts w:ascii="Arial" w:hAnsi="Arial" w:cs="Arial"/>
          <w:b/>
          <w:sz w:val="22"/>
          <w:szCs w:val="22"/>
        </w:rPr>
        <w:t>3.2</w:t>
      </w:r>
      <w:r>
        <w:rPr>
          <w:rFonts w:ascii="Arial" w:hAnsi="Arial" w:cs="Arial"/>
          <w:b/>
          <w:sz w:val="22"/>
          <w:szCs w:val="22"/>
        </w:rPr>
        <w:t xml:space="preserve"> Plan de t</w:t>
      </w:r>
      <w:r w:rsidRPr="00A75E92">
        <w:rPr>
          <w:rFonts w:ascii="Arial" w:hAnsi="Arial" w:cs="Arial"/>
          <w:b/>
          <w:sz w:val="22"/>
          <w:szCs w:val="22"/>
        </w:rPr>
        <w:t>rabajo propuesto por el licitante, y</w:t>
      </w:r>
    </w:p>
    <w:p w:rsidR="00D43BE7" w:rsidRPr="00B001F8" w:rsidRDefault="00D43BE7" w:rsidP="00D43BE7">
      <w:pPr>
        <w:ind w:left="284" w:right="299"/>
        <w:jc w:val="both"/>
        <w:rPr>
          <w:rFonts w:ascii="Arial" w:hAnsi="Arial" w:cs="Arial"/>
          <w:sz w:val="22"/>
          <w:szCs w:val="22"/>
        </w:rPr>
      </w:pPr>
    </w:p>
    <w:p w:rsidR="00D43BE7" w:rsidRPr="00A75E92" w:rsidRDefault="00D43BE7" w:rsidP="00D43BE7">
      <w:pPr>
        <w:ind w:left="284" w:right="299"/>
        <w:jc w:val="both"/>
        <w:rPr>
          <w:rFonts w:ascii="Arial" w:hAnsi="Arial" w:cs="Arial"/>
          <w:b/>
          <w:sz w:val="22"/>
          <w:szCs w:val="22"/>
        </w:rPr>
      </w:pPr>
      <w:r w:rsidRPr="00A75E92">
        <w:rPr>
          <w:rFonts w:ascii="Arial" w:hAnsi="Arial" w:cs="Arial"/>
          <w:b/>
          <w:sz w:val="22"/>
          <w:szCs w:val="22"/>
        </w:rPr>
        <w:t>3.3 Es</w:t>
      </w:r>
      <w:r>
        <w:rPr>
          <w:rFonts w:ascii="Arial" w:hAnsi="Arial" w:cs="Arial"/>
          <w:b/>
          <w:sz w:val="22"/>
          <w:szCs w:val="22"/>
        </w:rPr>
        <w:t>quema e</w:t>
      </w:r>
      <w:r w:rsidRPr="00A75E92">
        <w:rPr>
          <w:rFonts w:ascii="Arial" w:hAnsi="Arial" w:cs="Arial"/>
          <w:b/>
          <w:sz w:val="22"/>
          <w:szCs w:val="22"/>
        </w:rPr>
        <w:t>structural de la organización de los recursos humanos.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La convocante asignará a cada </w:t>
      </w:r>
      <w:proofErr w:type="spellStart"/>
      <w:r w:rsidRPr="00B001F8">
        <w:rPr>
          <w:rFonts w:ascii="Arial" w:hAnsi="Arial" w:cs="Arial"/>
          <w:sz w:val="22"/>
          <w:szCs w:val="22"/>
        </w:rPr>
        <w:t>subrubro</w:t>
      </w:r>
      <w:proofErr w:type="spellEnd"/>
      <w:r w:rsidRPr="00B001F8">
        <w:rPr>
          <w:rFonts w:ascii="Arial" w:hAnsi="Arial" w:cs="Arial"/>
          <w:sz w:val="22"/>
          <w:szCs w:val="22"/>
        </w:rPr>
        <w:t xml:space="preserve"> la puntuación o unidades porcentuales conforme a la importancia que tengan para la prestación del servicio requerido, y</w:t>
      </w: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both"/>
        <w:rPr>
          <w:rFonts w:ascii="Arial" w:hAnsi="Arial" w:cs="Arial"/>
          <w:b/>
          <w:sz w:val="22"/>
          <w:szCs w:val="22"/>
        </w:rPr>
      </w:pPr>
      <w:r w:rsidRPr="00BB124D">
        <w:rPr>
          <w:rFonts w:ascii="Arial" w:hAnsi="Arial" w:cs="Arial"/>
          <w:b/>
          <w:sz w:val="22"/>
          <w:szCs w:val="22"/>
        </w:rPr>
        <w:t>Rubro 4: Cumplimiento de contratos (máximo 12 puntos)</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De acuerdo con la naturaleza y características de los servicios materia del procedimiento de contratación y las condiciones y complejidad para el cumplimiento del contrato, la convocante podrá establecer </w:t>
      </w:r>
      <w:proofErr w:type="spellStart"/>
      <w:r w:rsidRPr="00B001F8">
        <w:rPr>
          <w:rFonts w:ascii="Arial" w:hAnsi="Arial" w:cs="Arial"/>
          <w:sz w:val="22"/>
          <w:szCs w:val="22"/>
        </w:rPr>
        <w:t>subrubros</w:t>
      </w:r>
      <w:proofErr w:type="spellEnd"/>
      <w:r w:rsidRPr="00B001F8">
        <w:rPr>
          <w:rFonts w:ascii="Arial" w:hAnsi="Arial" w:cs="Arial"/>
          <w:sz w:val="22"/>
          <w:szCs w:val="22"/>
        </w:rPr>
        <w:t xml:space="preserve"> a efecto de distribuir la puntuación o unidades porcentuales asignadas a este rubro.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Se deberá asignar mayor puntuación o unidades porcentuales al licitante que demuestre documentalmente tener más contratos cumplidos satisfactoriamente, a partir del mínimo establecido por la convocante, y al resto de los licitantes se les asignará puntuación o unidades porcentuales de manera proporcional al número de títulos de concesión y/o contratos que acrediten haber cumplido. En caso de no presentarse el mínimo de títulos de concesión y/o contratos requeridos, no se asignará puntuación o unidades porcentuales.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En </w:t>
      </w:r>
      <w:r>
        <w:rPr>
          <w:rFonts w:ascii="Arial" w:hAnsi="Arial" w:cs="Arial"/>
          <w:sz w:val="22"/>
          <w:szCs w:val="22"/>
        </w:rPr>
        <w:t>caso de que dos o más licitante</w:t>
      </w:r>
      <w:r w:rsidRPr="00B001F8">
        <w:rPr>
          <w:rFonts w:ascii="Arial" w:hAnsi="Arial" w:cs="Arial"/>
          <w:sz w:val="22"/>
          <w:szCs w:val="22"/>
        </w:rPr>
        <w:t>s presenten el mismo número de títulos de concesión y/o contratos o documentos para acreditar el cumplimiento de contratos, la convocante deberá dar la misma puntuación o unidades porcentuales a los licitantes que se encuentren en este supuesto;</w:t>
      </w:r>
    </w:p>
    <w:p w:rsidR="00D43BE7" w:rsidRDefault="00D43BE7" w:rsidP="00D43BE7">
      <w:pPr>
        <w:ind w:right="299"/>
        <w:jc w:val="both"/>
        <w:rPr>
          <w:rFonts w:ascii="Arial" w:hAnsi="Arial" w:cs="Arial"/>
          <w:b/>
          <w:sz w:val="22"/>
          <w:szCs w:val="22"/>
        </w:rPr>
      </w:pPr>
    </w:p>
    <w:p w:rsidR="00D43BE7" w:rsidRPr="00BB124D" w:rsidRDefault="00D43BE7" w:rsidP="00D43BE7">
      <w:pPr>
        <w:ind w:left="284" w:right="299"/>
        <w:jc w:val="both"/>
        <w:rPr>
          <w:rFonts w:ascii="Arial" w:hAnsi="Arial" w:cs="Arial"/>
          <w:b/>
          <w:sz w:val="22"/>
          <w:szCs w:val="22"/>
        </w:rPr>
      </w:pPr>
      <w:r w:rsidRPr="00BB124D">
        <w:rPr>
          <w:rFonts w:ascii="Arial" w:hAnsi="Arial" w:cs="Arial"/>
          <w:b/>
          <w:sz w:val="22"/>
          <w:szCs w:val="22"/>
        </w:rPr>
        <w:t>PROPUESTA ECONÓMICA.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Para definir el criterio que determine cuál es la propuesta económica más conveniente, la convocante podrá establecer en las bases, aspectos como la inversión inicial, las tarifas al usuario, el valor presente del proyecto, la contraprestación ofertada, o cualquier otro que resulte adecuado conforme a la naturaleza del proyecto, o bien, una combinación ponderada de cualquiera de los factores seleccionados.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El total de puntuación o unidades porcentuales de la propuesta económica deberá tener un valor numérico máximo de 40, por lo que a la propuesta económica que resulte ser la más conveniente de las técnicamente aceptadas de acuerdo al criterio económico definido, deberá asignársele la puntuación o unidades porcentuales máxima.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Para determinar la puntuación o unidades porcentuales que correspondan a la propuesta económica de cada participante, la convocante aplicará la siguiente fórmula: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PPE = </w:t>
      </w:r>
      <w:proofErr w:type="spellStart"/>
      <w:r w:rsidRPr="00B001F8">
        <w:rPr>
          <w:rFonts w:ascii="Arial" w:hAnsi="Arial" w:cs="Arial"/>
          <w:sz w:val="22"/>
          <w:szCs w:val="22"/>
        </w:rPr>
        <w:t>MPemb</w:t>
      </w:r>
      <w:proofErr w:type="spellEnd"/>
      <w:r w:rsidRPr="00B001F8">
        <w:rPr>
          <w:rFonts w:ascii="Arial" w:hAnsi="Arial" w:cs="Arial"/>
          <w:sz w:val="22"/>
          <w:szCs w:val="22"/>
        </w:rPr>
        <w:t xml:space="preserve"> x 40 / </w:t>
      </w:r>
      <w:proofErr w:type="spellStart"/>
      <w:r w:rsidRPr="00B001F8">
        <w:rPr>
          <w:rFonts w:ascii="Arial" w:hAnsi="Arial" w:cs="Arial"/>
          <w:sz w:val="22"/>
          <w:szCs w:val="22"/>
        </w:rPr>
        <w:t>MPi</w:t>
      </w:r>
      <w:proofErr w:type="spellEnd"/>
      <w:r w:rsidRPr="00B001F8">
        <w:rPr>
          <w:rFonts w:ascii="Arial" w:hAnsi="Arial" w:cs="Arial"/>
          <w:sz w:val="22"/>
          <w:szCs w:val="22"/>
        </w:rPr>
        <w:t>.</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Donde:</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PPE = Puntuación o unidades porc</w:t>
      </w:r>
      <w:r>
        <w:rPr>
          <w:rFonts w:ascii="Arial" w:hAnsi="Arial" w:cs="Arial"/>
          <w:sz w:val="22"/>
          <w:szCs w:val="22"/>
        </w:rPr>
        <w:t>entuales que corresponden a la propuesta e</w:t>
      </w:r>
      <w:r w:rsidRPr="00B001F8">
        <w:rPr>
          <w:rFonts w:ascii="Arial" w:hAnsi="Arial" w:cs="Arial"/>
          <w:sz w:val="22"/>
          <w:szCs w:val="22"/>
        </w:rPr>
        <w:t>conómica;</w:t>
      </w:r>
    </w:p>
    <w:p w:rsidR="00D43BE7" w:rsidRPr="00B001F8" w:rsidRDefault="00D43BE7" w:rsidP="00D43BE7">
      <w:pPr>
        <w:ind w:left="284" w:right="299"/>
        <w:jc w:val="both"/>
        <w:rPr>
          <w:rFonts w:ascii="Arial" w:hAnsi="Arial" w:cs="Arial"/>
          <w:sz w:val="22"/>
          <w:szCs w:val="22"/>
        </w:rPr>
      </w:pPr>
      <w:proofErr w:type="spellStart"/>
      <w:r>
        <w:rPr>
          <w:rFonts w:ascii="Arial" w:hAnsi="Arial" w:cs="Arial"/>
          <w:sz w:val="22"/>
          <w:szCs w:val="22"/>
        </w:rPr>
        <w:t>MPemb</w:t>
      </w:r>
      <w:proofErr w:type="spellEnd"/>
      <w:r>
        <w:rPr>
          <w:rFonts w:ascii="Arial" w:hAnsi="Arial" w:cs="Arial"/>
          <w:sz w:val="22"/>
          <w:szCs w:val="22"/>
        </w:rPr>
        <w:t xml:space="preserve"> = Monto de la p</w:t>
      </w:r>
      <w:r w:rsidRPr="00B001F8">
        <w:rPr>
          <w:rFonts w:ascii="Arial" w:hAnsi="Arial" w:cs="Arial"/>
          <w:sz w:val="22"/>
          <w:szCs w:val="22"/>
        </w:rPr>
        <w:t>ropuesta económica más conveniente, y</w:t>
      </w:r>
    </w:p>
    <w:p w:rsidR="00D43BE7" w:rsidRPr="00B001F8" w:rsidRDefault="00D43BE7" w:rsidP="00D43BE7">
      <w:pPr>
        <w:ind w:left="284" w:right="299"/>
        <w:jc w:val="both"/>
        <w:rPr>
          <w:rFonts w:ascii="Arial" w:hAnsi="Arial" w:cs="Arial"/>
          <w:sz w:val="22"/>
          <w:szCs w:val="22"/>
        </w:rPr>
      </w:pPr>
      <w:proofErr w:type="spellStart"/>
      <w:r>
        <w:rPr>
          <w:rFonts w:ascii="Arial" w:hAnsi="Arial" w:cs="Arial"/>
          <w:sz w:val="22"/>
          <w:szCs w:val="22"/>
        </w:rPr>
        <w:t>MPi</w:t>
      </w:r>
      <w:proofErr w:type="spellEnd"/>
      <w:r>
        <w:rPr>
          <w:rFonts w:ascii="Arial" w:hAnsi="Arial" w:cs="Arial"/>
          <w:sz w:val="22"/>
          <w:szCs w:val="22"/>
        </w:rPr>
        <w:t xml:space="preserve"> = Monto de la i-</w:t>
      </w:r>
      <w:proofErr w:type="spellStart"/>
      <w:r>
        <w:rPr>
          <w:rFonts w:ascii="Arial" w:hAnsi="Arial" w:cs="Arial"/>
          <w:sz w:val="22"/>
          <w:szCs w:val="22"/>
        </w:rPr>
        <w:t>ésima</w:t>
      </w:r>
      <w:proofErr w:type="spellEnd"/>
      <w:r>
        <w:rPr>
          <w:rFonts w:ascii="Arial" w:hAnsi="Arial" w:cs="Arial"/>
          <w:sz w:val="22"/>
          <w:szCs w:val="22"/>
        </w:rPr>
        <w:t xml:space="preserve"> p</w:t>
      </w:r>
      <w:r w:rsidRPr="00B001F8">
        <w:rPr>
          <w:rFonts w:ascii="Arial" w:hAnsi="Arial" w:cs="Arial"/>
          <w:sz w:val="22"/>
          <w:szCs w:val="22"/>
        </w:rPr>
        <w:t>ropuesta económica;</w:t>
      </w: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both"/>
        <w:rPr>
          <w:rFonts w:ascii="Arial" w:hAnsi="Arial" w:cs="Arial"/>
          <w:b/>
          <w:sz w:val="22"/>
          <w:szCs w:val="22"/>
        </w:rPr>
      </w:pPr>
      <w:r w:rsidRPr="00BB124D">
        <w:rPr>
          <w:rFonts w:ascii="Arial" w:hAnsi="Arial" w:cs="Arial"/>
          <w:b/>
          <w:sz w:val="22"/>
          <w:szCs w:val="22"/>
        </w:rPr>
        <w:t>Resultado Final</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Para calcular el resultado final de la puntuación o unidades porcentuales que obtuvo cada propuesta, la convocante aplicará la siguiente fórmula:</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proofErr w:type="spellStart"/>
      <w:r w:rsidRPr="00B001F8">
        <w:rPr>
          <w:rFonts w:ascii="Arial" w:hAnsi="Arial" w:cs="Arial"/>
          <w:sz w:val="22"/>
          <w:szCs w:val="22"/>
        </w:rPr>
        <w:t>PTj</w:t>
      </w:r>
      <w:proofErr w:type="spellEnd"/>
      <w:r w:rsidRPr="00B001F8">
        <w:rPr>
          <w:rFonts w:ascii="Arial" w:hAnsi="Arial" w:cs="Arial"/>
          <w:sz w:val="22"/>
          <w:szCs w:val="22"/>
        </w:rPr>
        <w:t xml:space="preserve"> = TPT + PPE Para toda j = 1, 2, ..., n</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Donde:</w:t>
      </w:r>
    </w:p>
    <w:p w:rsidR="00D43BE7" w:rsidRPr="00B001F8" w:rsidRDefault="00D43BE7" w:rsidP="00D43BE7">
      <w:pPr>
        <w:ind w:left="284" w:right="299"/>
        <w:jc w:val="both"/>
        <w:rPr>
          <w:rFonts w:ascii="Arial" w:hAnsi="Arial" w:cs="Arial"/>
          <w:sz w:val="22"/>
          <w:szCs w:val="22"/>
        </w:rPr>
      </w:pPr>
      <w:proofErr w:type="spellStart"/>
      <w:r w:rsidRPr="00B001F8">
        <w:rPr>
          <w:rFonts w:ascii="Arial" w:hAnsi="Arial" w:cs="Arial"/>
          <w:sz w:val="22"/>
          <w:szCs w:val="22"/>
        </w:rPr>
        <w:t>PTj</w:t>
      </w:r>
      <w:proofErr w:type="spellEnd"/>
      <w:r w:rsidRPr="00B001F8">
        <w:rPr>
          <w:rFonts w:ascii="Arial" w:hAnsi="Arial" w:cs="Arial"/>
          <w:sz w:val="22"/>
          <w:szCs w:val="22"/>
        </w:rPr>
        <w:t xml:space="preserve"> = Puntuación o unidades porcentuales Totales de la propuesta;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TPT = Total de Puntuación o unidades porcent</w:t>
      </w:r>
      <w:r>
        <w:rPr>
          <w:rFonts w:ascii="Arial" w:hAnsi="Arial" w:cs="Arial"/>
          <w:sz w:val="22"/>
          <w:szCs w:val="22"/>
        </w:rPr>
        <w:t>uales asignados a la propuesta t</w:t>
      </w:r>
      <w:r w:rsidRPr="00B001F8">
        <w:rPr>
          <w:rFonts w:ascii="Arial" w:hAnsi="Arial" w:cs="Arial"/>
          <w:sz w:val="22"/>
          <w:szCs w:val="22"/>
        </w:rPr>
        <w:t>écnica;</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PPE = Puntuación o unidad</w:t>
      </w:r>
      <w:r>
        <w:rPr>
          <w:rFonts w:ascii="Arial" w:hAnsi="Arial" w:cs="Arial"/>
          <w:sz w:val="22"/>
          <w:szCs w:val="22"/>
        </w:rPr>
        <w:t>es porcentuales asignados a la propuesta e</w:t>
      </w:r>
      <w:r w:rsidRPr="00B001F8">
        <w:rPr>
          <w:rFonts w:ascii="Arial" w:hAnsi="Arial" w:cs="Arial"/>
          <w:sz w:val="22"/>
          <w:szCs w:val="22"/>
        </w:rPr>
        <w:t>conómica, y</w:t>
      </w: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El subíndice "j" representa a las demás propuestas determinadas como solventes como resultado de la evaluación, y</w:t>
      </w:r>
    </w:p>
    <w:p w:rsidR="00D43BE7" w:rsidRPr="00B001F8" w:rsidRDefault="00D43BE7" w:rsidP="00D43BE7">
      <w:pPr>
        <w:ind w:right="299"/>
        <w:jc w:val="both"/>
        <w:rPr>
          <w:rFonts w:ascii="Arial" w:hAnsi="Arial" w:cs="Arial"/>
          <w:sz w:val="22"/>
          <w:szCs w:val="22"/>
        </w:rPr>
      </w:pPr>
    </w:p>
    <w:p w:rsidR="00D43BE7" w:rsidRPr="00BB124D" w:rsidRDefault="00D43BE7" w:rsidP="00D43BE7">
      <w:pPr>
        <w:ind w:left="284" w:right="299"/>
        <w:jc w:val="both"/>
        <w:rPr>
          <w:rFonts w:ascii="Arial" w:hAnsi="Arial" w:cs="Arial"/>
          <w:b/>
          <w:sz w:val="22"/>
          <w:szCs w:val="22"/>
        </w:rPr>
      </w:pPr>
      <w:r>
        <w:rPr>
          <w:rFonts w:ascii="Arial" w:hAnsi="Arial" w:cs="Arial"/>
          <w:b/>
          <w:sz w:val="22"/>
          <w:szCs w:val="22"/>
        </w:rPr>
        <w:t>Propuesta s</w:t>
      </w:r>
      <w:r w:rsidRPr="00BB124D">
        <w:rPr>
          <w:rFonts w:ascii="Arial" w:hAnsi="Arial" w:cs="Arial"/>
          <w:b/>
          <w:sz w:val="22"/>
          <w:szCs w:val="22"/>
        </w:rPr>
        <w:t>olvente más conveniente</w:t>
      </w:r>
      <w:r>
        <w:rPr>
          <w:rFonts w:ascii="Arial" w:hAnsi="Arial" w:cs="Arial"/>
          <w:b/>
          <w:sz w:val="22"/>
          <w:szCs w:val="22"/>
        </w:rPr>
        <w:t>.</w:t>
      </w:r>
    </w:p>
    <w:p w:rsidR="00D43BE7" w:rsidRPr="00A75E92" w:rsidRDefault="00D43BE7" w:rsidP="00D43BE7">
      <w:pPr>
        <w:ind w:left="284" w:right="299"/>
        <w:jc w:val="both"/>
        <w:rPr>
          <w:rFonts w:ascii="Arial" w:hAnsi="Arial" w:cs="Arial"/>
          <w:color w:val="FF0000"/>
          <w:sz w:val="22"/>
          <w:szCs w:val="22"/>
        </w:rPr>
      </w:pPr>
      <w:r w:rsidRPr="00B001F8">
        <w:rPr>
          <w:rFonts w:ascii="Arial" w:hAnsi="Arial" w:cs="Arial"/>
          <w:sz w:val="22"/>
          <w:szCs w:val="22"/>
        </w:rPr>
        <w:t xml:space="preserve">La propuesta solvente más conveniente para el Municipio será aquélla que reúna la mayor puntuación o unidades porcentuales </w:t>
      </w:r>
      <w:r w:rsidRPr="008425F4">
        <w:rPr>
          <w:rFonts w:ascii="Arial" w:hAnsi="Arial" w:cs="Arial"/>
          <w:color w:val="000000" w:themeColor="text1"/>
          <w:sz w:val="22"/>
          <w:szCs w:val="22"/>
        </w:rPr>
        <w:t>conforme a lo dispuesto en el capítulo tercero, titulo cuarto del presente lineamiento.</w:t>
      </w:r>
    </w:p>
    <w:p w:rsidR="00D43BE7" w:rsidRDefault="00D43BE7" w:rsidP="00D43BE7">
      <w:pPr>
        <w:ind w:left="284" w:right="299"/>
        <w:jc w:val="center"/>
        <w:rPr>
          <w:rFonts w:ascii="Arial" w:hAnsi="Arial" w:cs="Arial"/>
          <w:b/>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TÍTULO QUINTO</w:t>
      </w:r>
    </w:p>
    <w:p w:rsidR="00D43BE7" w:rsidRDefault="00D43BE7" w:rsidP="00D43BE7">
      <w:pPr>
        <w:ind w:left="284" w:right="299"/>
        <w:jc w:val="center"/>
        <w:rPr>
          <w:rFonts w:ascii="Arial" w:hAnsi="Arial" w:cs="Arial"/>
          <w:b/>
          <w:sz w:val="22"/>
          <w:szCs w:val="22"/>
        </w:rPr>
      </w:pPr>
      <w:r>
        <w:rPr>
          <w:rFonts w:ascii="Arial" w:hAnsi="Arial" w:cs="Arial"/>
          <w:b/>
          <w:sz w:val="22"/>
          <w:szCs w:val="22"/>
        </w:rPr>
        <w:t>Del F</w:t>
      </w:r>
      <w:r w:rsidRPr="00BB124D">
        <w:rPr>
          <w:rFonts w:ascii="Arial" w:hAnsi="Arial" w:cs="Arial"/>
          <w:b/>
          <w:sz w:val="22"/>
          <w:szCs w:val="22"/>
        </w:rPr>
        <w:t>allo</w:t>
      </w:r>
    </w:p>
    <w:p w:rsidR="00D43BE7" w:rsidRPr="00BB124D" w:rsidRDefault="00D43BE7" w:rsidP="00D43BE7">
      <w:pPr>
        <w:ind w:left="284" w:right="299"/>
        <w:jc w:val="center"/>
        <w:rPr>
          <w:rFonts w:ascii="Arial" w:hAnsi="Arial" w:cs="Arial"/>
          <w:b/>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Artículo 20.</w:t>
      </w:r>
      <w:r w:rsidRPr="00B001F8">
        <w:rPr>
          <w:rFonts w:ascii="Arial" w:hAnsi="Arial" w:cs="Arial"/>
          <w:sz w:val="22"/>
          <w:szCs w:val="22"/>
        </w:rPr>
        <w:t xml:space="preserve"> La convocante emitirá el fallo fundado y motivado, en el que se hará constar una reseña cronológica de los actos del procedimiento, análisis de las propuestas y las razones para emitir o desechar las mismas. </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001F8">
        <w:rPr>
          <w:rFonts w:ascii="Arial" w:hAnsi="Arial" w:cs="Arial"/>
          <w:sz w:val="22"/>
          <w:szCs w:val="22"/>
        </w:rPr>
        <w:t xml:space="preserve">Emitido el fallo, la convocante lo turnará a </w:t>
      </w:r>
      <w:r>
        <w:rPr>
          <w:rFonts w:ascii="Arial" w:hAnsi="Arial" w:cs="Arial"/>
          <w:sz w:val="22"/>
          <w:szCs w:val="22"/>
        </w:rPr>
        <w:t>la Secretarí</w:t>
      </w:r>
      <w:r w:rsidRPr="00B001F8">
        <w:rPr>
          <w:rFonts w:ascii="Arial" w:hAnsi="Arial" w:cs="Arial"/>
          <w:sz w:val="22"/>
          <w:szCs w:val="22"/>
        </w:rPr>
        <w:t xml:space="preserve">a del Ayuntamiento, para el trámite respectivo. </w:t>
      </w:r>
    </w:p>
    <w:p w:rsidR="00D43BE7" w:rsidRPr="00B001F8" w:rsidRDefault="00D43BE7" w:rsidP="00D43BE7">
      <w:pPr>
        <w:ind w:left="284" w:right="299"/>
        <w:jc w:val="both"/>
        <w:rPr>
          <w:rFonts w:ascii="Arial" w:hAnsi="Arial" w:cs="Arial"/>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TITULO SEXTO</w:t>
      </w:r>
    </w:p>
    <w:p w:rsidR="00D43BE7" w:rsidRPr="00BB124D" w:rsidRDefault="00D43BE7" w:rsidP="00D43BE7">
      <w:pPr>
        <w:ind w:left="284" w:right="299"/>
        <w:jc w:val="center"/>
        <w:rPr>
          <w:rFonts w:ascii="Arial" w:hAnsi="Arial" w:cs="Arial"/>
          <w:b/>
          <w:sz w:val="22"/>
          <w:szCs w:val="22"/>
        </w:rPr>
      </w:pPr>
      <w:r>
        <w:rPr>
          <w:rFonts w:ascii="Arial" w:hAnsi="Arial" w:cs="Arial"/>
          <w:b/>
          <w:sz w:val="22"/>
          <w:szCs w:val="22"/>
        </w:rPr>
        <w:t>Del Contenido de los C</w:t>
      </w:r>
      <w:r w:rsidRPr="00BB124D">
        <w:rPr>
          <w:rFonts w:ascii="Arial" w:hAnsi="Arial" w:cs="Arial"/>
          <w:b/>
          <w:sz w:val="22"/>
          <w:szCs w:val="22"/>
        </w:rPr>
        <w:t>ontratos</w:t>
      </w:r>
    </w:p>
    <w:p w:rsidR="00D43BE7" w:rsidRPr="00BB124D" w:rsidRDefault="00D43BE7" w:rsidP="00D43BE7">
      <w:pPr>
        <w:ind w:left="284" w:right="299"/>
        <w:jc w:val="center"/>
        <w:rPr>
          <w:rFonts w:ascii="Arial" w:hAnsi="Arial" w:cs="Arial"/>
          <w:b/>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Capítulo Único</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r w:rsidRPr="00BB124D">
        <w:rPr>
          <w:rFonts w:ascii="Arial" w:hAnsi="Arial" w:cs="Arial"/>
          <w:b/>
          <w:sz w:val="22"/>
          <w:szCs w:val="22"/>
        </w:rPr>
        <w:t>Artículo 21</w:t>
      </w:r>
      <w:r w:rsidRPr="00B001F8">
        <w:rPr>
          <w:rFonts w:ascii="Arial" w:hAnsi="Arial" w:cs="Arial"/>
          <w:sz w:val="22"/>
          <w:szCs w:val="22"/>
        </w:rPr>
        <w:t>.-Adicional a lo establecido en el Código, los contratos de concesión de los servicios públicos municipales deberán contener:</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w:t>
      </w:r>
      <w:r w:rsidRPr="00B001F8">
        <w:rPr>
          <w:rFonts w:ascii="Arial" w:hAnsi="Arial" w:cs="Arial"/>
          <w:sz w:val="22"/>
          <w:szCs w:val="22"/>
        </w:rPr>
        <w:tab/>
        <w:t xml:space="preserve">Domicilio del concesionario en la ciudad de Saltillo, Coahuila de Zaragoza, para oír y recibir notificaciones. </w:t>
      </w:r>
    </w:p>
    <w:p w:rsidR="00D43BE7" w:rsidRPr="00B001F8" w:rsidRDefault="00D43BE7" w:rsidP="00D43BE7">
      <w:pPr>
        <w:ind w:left="704" w:right="299" w:hanging="420"/>
        <w:jc w:val="both"/>
        <w:rPr>
          <w:rFonts w:ascii="Arial" w:hAnsi="Arial" w:cs="Arial"/>
          <w:sz w:val="22"/>
          <w:szCs w:val="22"/>
        </w:rPr>
      </w:pPr>
      <w:r w:rsidRPr="00B001F8">
        <w:rPr>
          <w:rFonts w:ascii="Arial" w:hAnsi="Arial" w:cs="Arial"/>
          <w:sz w:val="22"/>
          <w:szCs w:val="22"/>
        </w:rPr>
        <w:t>II.</w:t>
      </w:r>
      <w:r w:rsidRPr="00B001F8">
        <w:rPr>
          <w:rFonts w:ascii="Arial" w:hAnsi="Arial" w:cs="Arial"/>
          <w:sz w:val="22"/>
          <w:szCs w:val="22"/>
        </w:rPr>
        <w:tab/>
        <w:t xml:space="preserve">Clausula en la que se disponga que en caso de requerirse un avalúo e indemnización a que hace referencia el Código, se podrán utilizar los criterios establecidos en la METODOLOGÍA de los servicios </w:t>
      </w:r>
      <w:proofErr w:type="spellStart"/>
      <w:r w:rsidRPr="00B001F8">
        <w:rPr>
          <w:rFonts w:ascii="Arial" w:hAnsi="Arial" w:cs="Arial"/>
          <w:sz w:val="22"/>
          <w:szCs w:val="22"/>
        </w:rPr>
        <w:t>valuatorios</w:t>
      </w:r>
      <w:proofErr w:type="spellEnd"/>
      <w:r w:rsidRPr="00B001F8">
        <w:rPr>
          <w:rFonts w:ascii="Arial" w:hAnsi="Arial" w:cs="Arial"/>
          <w:sz w:val="22"/>
          <w:szCs w:val="22"/>
        </w:rPr>
        <w:t xml:space="preserve"> regulados por el Instituto de Administración y Avalúos de Bienes Nacionales para dictaminar el monto de indemnización de los activos: bienes inmuebles (urbanos, en transición y agropecuarios), bienes muebles (maquinaria y equipo o propiedad personal) y negocios, publicada en el Diario Oficial de la Federación el día 9 de junio de 2017, o cualquier actualización o metodología que la sustituya.</w:t>
      </w:r>
    </w:p>
    <w:p w:rsidR="00D43BE7" w:rsidRPr="00BB124D" w:rsidRDefault="00D43BE7" w:rsidP="00D43BE7">
      <w:pPr>
        <w:ind w:left="284" w:right="299"/>
        <w:jc w:val="center"/>
        <w:rPr>
          <w:rFonts w:ascii="Arial" w:hAnsi="Arial" w:cs="Arial"/>
          <w:b/>
          <w:sz w:val="22"/>
          <w:szCs w:val="22"/>
        </w:rPr>
      </w:pPr>
    </w:p>
    <w:p w:rsidR="00D43BE7" w:rsidRPr="00BB124D" w:rsidRDefault="00D43BE7" w:rsidP="00D43BE7">
      <w:pPr>
        <w:ind w:left="284" w:right="299"/>
        <w:jc w:val="center"/>
        <w:rPr>
          <w:rFonts w:ascii="Arial" w:hAnsi="Arial" w:cs="Arial"/>
          <w:b/>
          <w:sz w:val="22"/>
          <w:szCs w:val="22"/>
        </w:rPr>
      </w:pPr>
      <w:r w:rsidRPr="00BB124D">
        <w:rPr>
          <w:rFonts w:ascii="Arial" w:hAnsi="Arial" w:cs="Arial"/>
          <w:b/>
          <w:sz w:val="22"/>
          <w:szCs w:val="22"/>
        </w:rPr>
        <w:t>TRANSITORIOS</w:t>
      </w:r>
    </w:p>
    <w:p w:rsidR="00D43BE7" w:rsidRPr="00B001F8" w:rsidRDefault="00D43BE7" w:rsidP="00D43BE7">
      <w:pPr>
        <w:ind w:left="284" w:right="299"/>
        <w:jc w:val="both"/>
        <w:rPr>
          <w:rFonts w:ascii="Arial" w:hAnsi="Arial" w:cs="Arial"/>
          <w:sz w:val="22"/>
          <w:szCs w:val="22"/>
        </w:rPr>
      </w:pPr>
    </w:p>
    <w:p w:rsidR="00D43BE7" w:rsidRPr="00B001F8" w:rsidRDefault="00D43BE7" w:rsidP="00D43BE7">
      <w:pPr>
        <w:ind w:left="284" w:right="299"/>
        <w:jc w:val="both"/>
        <w:rPr>
          <w:rFonts w:ascii="Arial" w:hAnsi="Arial" w:cs="Arial"/>
          <w:sz w:val="22"/>
          <w:szCs w:val="22"/>
        </w:rPr>
      </w:pPr>
      <w:proofErr w:type="gramStart"/>
      <w:r w:rsidRPr="003F539F">
        <w:rPr>
          <w:rFonts w:ascii="Arial" w:hAnsi="Arial" w:cs="Arial"/>
          <w:b/>
          <w:sz w:val="22"/>
          <w:szCs w:val="22"/>
        </w:rPr>
        <w:t>PRIMERO.-</w:t>
      </w:r>
      <w:proofErr w:type="gramEnd"/>
      <w:r>
        <w:rPr>
          <w:rFonts w:ascii="Arial" w:hAnsi="Arial" w:cs="Arial"/>
          <w:sz w:val="22"/>
          <w:szCs w:val="22"/>
        </w:rPr>
        <w:t xml:space="preserve"> El presente lineamiento entrará</w:t>
      </w:r>
      <w:r w:rsidRPr="00B001F8">
        <w:rPr>
          <w:rFonts w:ascii="Arial" w:hAnsi="Arial" w:cs="Arial"/>
          <w:sz w:val="22"/>
          <w:szCs w:val="22"/>
        </w:rPr>
        <w:t xml:space="preserve"> en vigor al día hábil siguiente de su publicación en el Periódico Oficial del Gobierno del Estado, independientemente de lo propio en la Gaceta Municipal.</w:t>
      </w:r>
    </w:p>
    <w:p w:rsidR="00D43BE7" w:rsidRPr="00B001F8" w:rsidRDefault="00D43BE7" w:rsidP="00D43BE7">
      <w:pPr>
        <w:ind w:left="284" w:right="299"/>
        <w:jc w:val="both"/>
        <w:rPr>
          <w:rFonts w:ascii="Arial" w:hAnsi="Arial" w:cs="Arial"/>
          <w:sz w:val="22"/>
          <w:szCs w:val="22"/>
        </w:rPr>
      </w:pPr>
    </w:p>
    <w:p w:rsidR="00D43BE7" w:rsidRPr="003F539F" w:rsidRDefault="00D43BE7" w:rsidP="00D43BE7">
      <w:pPr>
        <w:ind w:left="284" w:right="299"/>
        <w:jc w:val="both"/>
        <w:rPr>
          <w:rFonts w:ascii="Arial" w:hAnsi="Arial" w:cs="Arial"/>
          <w:sz w:val="22"/>
          <w:szCs w:val="22"/>
        </w:rPr>
      </w:pPr>
      <w:proofErr w:type="gramStart"/>
      <w:r w:rsidRPr="003F539F">
        <w:rPr>
          <w:rFonts w:ascii="Arial" w:hAnsi="Arial" w:cs="Arial"/>
          <w:b/>
          <w:sz w:val="22"/>
          <w:szCs w:val="22"/>
        </w:rPr>
        <w:t>SEGUNDO.-</w:t>
      </w:r>
      <w:proofErr w:type="gramEnd"/>
      <w:r>
        <w:rPr>
          <w:rFonts w:ascii="Arial" w:hAnsi="Arial" w:cs="Arial"/>
          <w:sz w:val="22"/>
          <w:szCs w:val="22"/>
        </w:rPr>
        <w:t xml:space="preserve"> </w:t>
      </w:r>
      <w:r w:rsidRPr="00B001F8">
        <w:rPr>
          <w:rFonts w:ascii="Arial" w:hAnsi="Arial" w:cs="Arial"/>
          <w:sz w:val="22"/>
          <w:szCs w:val="22"/>
        </w:rPr>
        <w:t xml:space="preserve">Quedan sin efectos todos los oficios, circulares y lineamientos internos que se </w:t>
      </w:r>
      <w:r>
        <w:rPr>
          <w:rFonts w:ascii="Arial" w:hAnsi="Arial" w:cs="Arial"/>
          <w:sz w:val="22"/>
          <w:szCs w:val="22"/>
        </w:rPr>
        <w:t>opongan al presente lineamiento</w:t>
      </w:r>
      <w:r w:rsidRPr="00B001F8">
        <w:rPr>
          <w:rFonts w:ascii="Arial" w:hAnsi="Arial" w:cs="Arial"/>
          <w:sz w:val="22"/>
          <w:szCs w:val="22"/>
        </w:rPr>
        <w:t>.</w:t>
      </w:r>
    </w:p>
    <w:p w:rsidR="00DB604F" w:rsidRDefault="00DB604F"/>
    <w:sectPr w:rsidR="00DB60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907BE5"/>
    <w:multiLevelType w:val="multilevel"/>
    <w:tmpl w:val="C0644AD8"/>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BE7"/>
    <w:rsid w:val="007B0EA1"/>
    <w:rsid w:val="00AA729D"/>
    <w:rsid w:val="00D43BE7"/>
    <w:rsid w:val="00DB60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E6AE7"/>
  <w15:chartTrackingRefBased/>
  <w15:docId w15:val="{82EEBEEC-4749-4228-A5CC-7AA6C5EE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BE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3BE7"/>
    <w:pPr>
      <w:ind w:left="708"/>
    </w:pPr>
  </w:style>
  <w:style w:type="paragraph" w:styleId="Sinespaciado">
    <w:name w:val="No Spacing"/>
    <w:uiPriority w:val="1"/>
    <w:qFormat/>
    <w:rsid w:val="00D43B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13</Pages>
  <Words>5261</Words>
  <Characters>28936</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Elizabeth Torres Torres</dc:creator>
  <cp:keywords/>
  <dc:description/>
  <cp:lastModifiedBy>Ana Elizabeth Torres Torres</cp:lastModifiedBy>
  <cp:revision>1</cp:revision>
  <dcterms:created xsi:type="dcterms:W3CDTF">2019-09-30T16:27:00Z</dcterms:created>
  <dcterms:modified xsi:type="dcterms:W3CDTF">2019-09-30T17:25:00Z</dcterms:modified>
</cp:coreProperties>
</file>